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2EA9AB" w14:textId="562B4C85" w:rsidR="0099575A" w:rsidRDefault="0099575A" w:rsidP="006A3B6F">
      <w:r>
        <w:t>‘Reformation</w:t>
      </w:r>
      <w:r w:rsidR="006A2EE9">
        <w:t>, Politics &amp; Rebellion</w:t>
      </w:r>
      <w:r>
        <w:t>’</w:t>
      </w:r>
      <w:r w:rsidR="00767C28">
        <w:t xml:space="preserve"> </w:t>
      </w:r>
      <w:r w:rsidR="00767C28">
        <w:tab/>
      </w:r>
      <w:r w:rsidR="00767C28">
        <w:tab/>
      </w:r>
      <w:r w:rsidR="00767C28">
        <w:tab/>
      </w:r>
      <w:r w:rsidR="00767C28">
        <w:tab/>
      </w:r>
      <w:r w:rsidR="00767C28">
        <w:tab/>
      </w:r>
      <w:r w:rsidR="00767C28">
        <w:tab/>
        <w:t xml:space="preserve">      BK 0</w:t>
      </w:r>
      <w:r w:rsidR="00C55243">
        <w:t>3</w:t>
      </w:r>
      <w:r w:rsidR="00767C28">
        <w:t>/</w:t>
      </w:r>
      <w:r w:rsidR="00C55243">
        <w:t>2</w:t>
      </w:r>
      <w:r w:rsidR="00C00E4E">
        <w:t>5</w:t>
      </w:r>
    </w:p>
    <w:p w14:paraId="5C2FCFAC" w14:textId="77777777" w:rsidR="0099575A" w:rsidRDefault="0099575A"/>
    <w:p w14:paraId="313EEF6C" w14:textId="77777777" w:rsidR="0099575A" w:rsidRPr="00320BA2" w:rsidRDefault="0099575A">
      <w:pPr>
        <w:pStyle w:val="Heading1"/>
        <w:rPr>
          <w:iCs/>
          <w:lang w:val="en-GB"/>
        </w:rPr>
      </w:pPr>
      <w:r w:rsidRPr="00320BA2">
        <w:rPr>
          <w:iCs/>
          <w:lang w:val="en-GB"/>
        </w:rPr>
        <w:t>Gender Roles</w:t>
      </w:r>
    </w:p>
    <w:p w14:paraId="5673D853" w14:textId="295586B8" w:rsidR="0099575A" w:rsidRDefault="00767C28">
      <w:pPr>
        <w:jc w:val="center"/>
        <w:rPr>
          <w:lang w:val="en-US"/>
        </w:rPr>
      </w:pPr>
      <w:r>
        <w:t xml:space="preserve">Lecture Spring Week </w:t>
      </w:r>
      <w:r w:rsidR="00C55243">
        <w:t>1</w:t>
      </w:r>
      <w:r w:rsidR="00C00E4E">
        <w:t>9</w:t>
      </w:r>
    </w:p>
    <w:p w14:paraId="353EDD0B" w14:textId="77777777" w:rsidR="0099575A" w:rsidRDefault="0099575A"/>
    <w:p w14:paraId="47B2B042" w14:textId="77777777" w:rsidR="0099575A" w:rsidRDefault="0099575A">
      <w:pPr>
        <w:pStyle w:val="Heading2"/>
      </w:pPr>
      <w:r>
        <w:t>Introduction</w:t>
      </w:r>
    </w:p>
    <w:p w14:paraId="2D20B5D6" w14:textId="77777777" w:rsidR="0099575A" w:rsidRDefault="0099575A">
      <w:pPr>
        <w:numPr>
          <w:ilvl w:val="0"/>
          <w:numId w:val="1"/>
        </w:numPr>
      </w:pPr>
      <w:r>
        <w:t xml:space="preserve">Gender issues </w:t>
      </w:r>
      <w:r w:rsidR="000B4698">
        <w:t>have moved to the centre of</w:t>
      </w:r>
      <w:r>
        <w:t xml:space="preserve"> recent historiography</w:t>
      </w:r>
      <w:r w:rsidR="00320BA2">
        <w:t xml:space="preserve"> (Merry Wiesner)</w:t>
      </w:r>
    </w:p>
    <w:p w14:paraId="5AEC8EC2" w14:textId="77777777" w:rsidR="0099575A" w:rsidRDefault="006A2EE9">
      <w:pPr>
        <w:numPr>
          <w:ilvl w:val="0"/>
          <w:numId w:val="1"/>
        </w:numPr>
      </w:pPr>
      <w:r>
        <w:t>Shows i</w:t>
      </w:r>
      <w:r w:rsidR="0099575A">
        <w:t xml:space="preserve">nfluence of present-day movements </w:t>
      </w:r>
      <w:r w:rsidR="006B7DC0">
        <w:t xml:space="preserve">(feminism) </w:t>
      </w:r>
      <w:r w:rsidR="0099575A">
        <w:t xml:space="preserve">on interpretations of the past </w:t>
      </w:r>
    </w:p>
    <w:p w14:paraId="402D9546" w14:textId="77777777" w:rsidR="0099575A" w:rsidRDefault="006A2EE9">
      <w:pPr>
        <w:numPr>
          <w:ilvl w:val="0"/>
          <w:numId w:val="1"/>
        </w:numPr>
      </w:pPr>
      <w:r>
        <w:t>Ongoing l</w:t>
      </w:r>
      <w:r w:rsidR="0099575A">
        <w:t>ively debate on the impact of the Reformation on women</w:t>
      </w:r>
    </w:p>
    <w:p w14:paraId="2FC46E61" w14:textId="77777777" w:rsidR="0099575A" w:rsidRDefault="0099575A"/>
    <w:p w14:paraId="1DCB51D0" w14:textId="77777777" w:rsidR="0099575A" w:rsidRDefault="0099575A">
      <w:pPr>
        <w:rPr>
          <w:u w:val="single"/>
        </w:rPr>
      </w:pPr>
      <w:r>
        <w:rPr>
          <w:u w:val="single"/>
        </w:rPr>
        <w:t xml:space="preserve">1.  Luther’s </w:t>
      </w:r>
      <w:r w:rsidR="00C03036">
        <w:rPr>
          <w:u w:val="single"/>
        </w:rPr>
        <w:t>views</w:t>
      </w:r>
    </w:p>
    <w:p w14:paraId="1C0E527C" w14:textId="77777777" w:rsidR="0099575A" w:rsidRDefault="0099575A">
      <w:pPr>
        <w:numPr>
          <w:ilvl w:val="0"/>
          <w:numId w:val="1"/>
        </w:numPr>
      </w:pPr>
      <w:r>
        <w:t>His writings (</w:t>
      </w:r>
      <w:r w:rsidR="006A2EE9">
        <w:t xml:space="preserve">as </w:t>
      </w:r>
      <w:r>
        <w:t>e.g.</w:t>
      </w:r>
      <w:r w:rsidR="006A2EE9">
        <w:t xml:space="preserve"> in</w:t>
      </w:r>
      <w:r>
        <w:t xml:space="preserve"> </w:t>
      </w:r>
      <w:r>
        <w:rPr>
          <w:i/>
          <w:iCs/>
        </w:rPr>
        <w:t>The Estate of Marriage</w:t>
      </w:r>
      <w:r>
        <w:t xml:space="preserve">, 1522) reject some traditional notions of female sinfulness and spiritual inferiority but confirm need for patriarchal control. </w:t>
      </w:r>
      <w:r w:rsidR="006A2EE9">
        <w:t>Alongside,</w:t>
      </w:r>
      <w:r>
        <w:t xml:space="preserve"> flippant </w:t>
      </w:r>
      <w:r w:rsidR="00F418CC">
        <w:t xml:space="preserve">– </w:t>
      </w:r>
      <w:r>
        <w:t>if not ‘misogynist’</w:t>
      </w:r>
      <w:r w:rsidR="00F418CC">
        <w:t xml:space="preserve"> –</w:t>
      </w:r>
      <w:r>
        <w:t xml:space="preserve"> stat</w:t>
      </w:r>
      <w:r w:rsidR="006B7DC0">
        <w:t>e</w:t>
      </w:r>
      <w:r>
        <w:t xml:space="preserve">ments recorded in the </w:t>
      </w:r>
      <w:r>
        <w:rPr>
          <w:i/>
          <w:iCs/>
        </w:rPr>
        <w:t>Table Talks</w:t>
      </w:r>
    </w:p>
    <w:p w14:paraId="6C7F222E" w14:textId="77777777" w:rsidR="0099575A" w:rsidRDefault="0099575A">
      <w:pPr>
        <w:numPr>
          <w:ilvl w:val="0"/>
          <w:numId w:val="1"/>
        </w:numPr>
      </w:pPr>
      <w:r>
        <w:t xml:space="preserve">His marriage to former nun </w:t>
      </w:r>
      <w:r w:rsidRPr="00813627">
        <w:rPr>
          <w:b/>
        </w:rPr>
        <w:t>Katharina von Bora</w:t>
      </w:r>
      <w:r>
        <w:t xml:space="preserve"> </w:t>
      </w:r>
      <w:r w:rsidR="006A2EE9">
        <w:t xml:space="preserve">causes scandal but also </w:t>
      </w:r>
      <w:r>
        <w:t>sets new standard</w:t>
      </w:r>
      <w:r w:rsidR="006A2EE9">
        <w:t>s</w:t>
      </w:r>
      <w:r>
        <w:t xml:space="preserve"> for Protestant (clerical) household</w:t>
      </w:r>
      <w:r w:rsidR="006A2EE9">
        <w:t xml:space="preserve">, </w:t>
      </w:r>
      <w:r>
        <w:t>reveal</w:t>
      </w:r>
      <w:r w:rsidR="006A2EE9">
        <w:t>ing</w:t>
      </w:r>
      <w:r>
        <w:t xml:space="preserve"> elements of real partnership</w:t>
      </w:r>
    </w:p>
    <w:p w14:paraId="644F3552" w14:textId="77777777" w:rsidR="0099575A" w:rsidRDefault="0099575A"/>
    <w:p w14:paraId="4DBD794F" w14:textId="77777777" w:rsidR="0099575A" w:rsidRDefault="0099575A">
      <w:pPr>
        <w:rPr>
          <w:u w:val="single"/>
        </w:rPr>
      </w:pPr>
      <w:r>
        <w:rPr>
          <w:u w:val="single"/>
        </w:rPr>
        <w:t xml:space="preserve">2.  Women </w:t>
      </w:r>
      <w:r w:rsidR="00C03036">
        <w:rPr>
          <w:u w:val="single"/>
        </w:rPr>
        <w:t>responding to</w:t>
      </w:r>
      <w:r>
        <w:rPr>
          <w:u w:val="single"/>
        </w:rPr>
        <w:t xml:space="preserve"> the Reformation</w:t>
      </w:r>
    </w:p>
    <w:p w14:paraId="78E3A277" w14:textId="77777777" w:rsidR="0099575A" w:rsidRDefault="00C55243" w:rsidP="00C55243">
      <w:r>
        <w:t>Bible</w:t>
      </w:r>
      <w:r w:rsidR="0099575A">
        <w:t xml:space="preserve"> emphasis and rejection of mediating role of (male) clergy appeal</w:t>
      </w:r>
      <w:r w:rsidR="006A2EE9">
        <w:t>s to many:</w:t>
      </w:r>
    </w:p>
    <w:p w14:paraId="4FDC961B" w14:textId="77777777" w:rsidR="007D0A14" w:rsidRDefault="0099575A" w:rsidP="007D0A14">
      <w:pPr>
        <w:numPr>
          <w:ilvl w:val="0"/>
          <w:numId w:val="3"/>
        </w:numPr>
      </w:pPr>
      <w:r w:rsidRPr="00813627">
        <w:rPr>
          <w:b/>
        </w:rPr>
        <w:t>Katharina Zell</w:t>
      </w:r>
      <w:r>
        <w:t xml:space="preserve"> (née Schütz) of Strasbourg joined </w:t>
      </w:r>
      <w:r w:rsidR="007D0A14">
        <w:t>the Lutheran cause in the early</w:t>
      </w:r>
    </w:p>
    <w:p w14:paraId="5C7772C8" w14:textId="77777777" w:rsidR="0099575A" w:rsidRDefault="0099575A" w:rsidP="007D0A14">
      <w:pPr>
        <w:ind w:left="357"/>
      </w:pPr>
      <w:r>
        <w:t xml:space="preserve">1520s, married a former priest and published </w:t>
      </w:r>
      <w:r w:rsidR="006A3B6F">
        <w:t>several</w:t>
      </w:r>
      <w:r>
        <w:t xml:space="preserve"> tracts (attacking the Catholic clergy), despite </w:t>
      </w:r>
      <w:r w:rsidR="0012382A">
        <w:t xml:space="preserve">council </w:t>
      </w:r>
      <w:r>
        <w:t xml:space="preserve">attempts to silence her. Katharina had contacts with prominent reformers, preached at funerals and engaged in poor relief </w:t>
      </w:r>
      <w:r w:rsidR="0012382A">
        <w:t>(</w:t>
      </w:r>
      <w:r w:rsidR="006A2EE9">
        <w:t xml:space="preserve">cf. </w:t>
      </w:r>
      <w:r w:rsidR="0012382A">
        <w:t>McKee)</w:t>
      </w:r>
    </w:p>
    <w:p w14:paraId="6D7B4EDA" w14:textId="2D03A031" w:rsidR="006B7DC0" w:rsidRDefault="006B7DC0">
      <w:pPr>
        <w:numPr>
          <w:ilvl w:val="0"/>
          <w:numId w:val="3"/>
        </w:numPr>
      </w:pPr>
      <w:proofErr w:type="spellStart"/>
      <w:r w:rsidRPr="00813627">
        <w:rPr>
          <w:b/>
        </w:rPr>
        <w:t>Argula</w:t>
      </w:r>
      <w:proofErr w:type="spellEnd"/>
      <w:r w:rsidRPr="00813627">
        <w:rPr>
          <w:b/>
        </w:rPr>
        <w:t xml:space="preserve"> von Grumbach</w:t>
      </w:r>
      <w:r w:rsidR="000B4698">
        <w:t>, a Bavarian noblewoman,</w:t>
      </w:r>
      <w:r>
        <w:t xml:space="preserve"> clashe</w:t>
      </w:r>
      <w:r w:rsidR="0012382A">
        <w:t>d</w:t>
      </w:r>
      <w:r>
        <w:t xml:space="preserve"> with Ingolstadt university theologians in 1520s</w:t>
      </w:r>
      <w:r w:rsidR="000B4698">
        <w:t xml:space="preserve"> and </w:t>
      </w:r>
      <w:r w:rsidR="00A159A4">
        <w:t>published</w:t>
      </w:r>
      <w:r w:rsidR="000B4698">
        <w:t xml:space="preserve"> several pro-Lutheran pamphlets</w:t>
      </w:r>
    </w:p>
    <w:p w14:paraId="2E8CE620" w14:textId="77777777" w:rsidR="0099575A" w:rsidRDefault="0099575A">
      <w:pPr>
        <w:numPr>
          <w:ilvl w:val="0"/>
          <w:numId w:val="3"/>
        </w:numPr>
      </w:pPr>
      <w:r w:rsidRPr="00813627">
        <w:rPr>
          <w:b/>
        </w:rPr>
        <w:t xml:space="preserve">Ursula </w:t>
      </w:r>
      <w:proofErr w:type="spellStart"/>
      <w:r w:rsidRPr="00813627">
        <w:rPr>
          <w:b/>
        </w:rPr>
        <w:t>Weyda</w:t>
      </w:r>
      <w:proofErr w:type="spellEnd"/>
      <w:r>
        <w:t xml:space="preserve">, wife of a tax-collector at Eisenberg, challenged the Catholic clergy in her </w:t>
      </w:r>
      <w:r>
        <w:rPr>
          <w:i/>
          <w:iCs/>
        </w:rPr>
        <w:t>Against the Unchristian, Slanderous Work of the Abbot of Pegau</w:t>
      </w:r>
      <w:r>
        <w:t xml:space="preserve"> (1524) by emphasizing the authority of Bible: ‘you stupid, ignorant abbot …You know less about scripture than a cow about dancing … The Word of God alone is important, but monks and priests know nothing of this. They use lies, which the false and devilish papal church tells them.’</w:t>
      </w:r>
    </w:p>
    <w:p w14:paraId="6E6526E0" w14:textId="77777777" w:rsidR="0099575A" w:rsidRDefault="0099575A">
      <w:pPr>
        <w:numPr>
          <w:ilvl w:val="0"/>
          <w:numId w:val="3"/>
        </w:numPr>
      </w:pPr>
      <w:r>
        <w:t xml:space="preserve">At </w:t>
      </w:r>
      <w:proofErr w:type="spellStart"/>
      <w:r>
        <w:t>Schlettstadt</w:t>
      </w:r>
      <w:proofErr w:type="spellEnd"/>
      <w:r>
        <w:t xml:space="preserve"> (</w:t>
      </w:r>
      <w:smartTag w:uri="urn:schemas-microsoft-com:office:smarttags" w:element="State">
        <w:smartTag w:uri="urn:schemas-microsoft-com:office:smarttags" w:element="place">
          <w:r>
            <w:t>Alsace</w:t>
          </w:r>
        </w:smartTag>
      </w:smartTag>
      <w:r w:rsidR="0061093D">
        <w:t xml:space="preserve">) in February 1525, </w:t>
      </w:r>
      <w:r>
        <w:t>women invaded a convent of Dominican nuns to convince them of the error of their ways and ‘to turn them to the Gospel’</w:t>
      </w:r>
    </w:p>
    <w:p w14:paraId="399143A1" w14:textId="16E88ECF" w:rsidR="00320BA2" w:rsidRPr="007C462B" w:rsidRDefault="00320BA2" w:rsidP="00320BA2">
      <w:pPr>
        <w:numPr>
          <w:ilvl w:val="0"/>
          <w:numId w:val="3"/>
        </w:numPr>
      </w:pPr>
      <w:r>
        <w:rPr>
          <w:szCs w:val="20"/>
        </w:rPr>
        <w:t xml:space="preserve">Olympia </w:t>
      </w:r>
      <w:r w:rsidRPr="00813627">
        <w:rPr>
          <w:b/>
          <w:szCs w:val="20"/>
        </w:rPr>
        <w:t>Fulvia Morata</w:t>
      </w:r>
      <w:r>
        <w:rPr>
          <w:szCs w:val="20"/>
        </w:rPr>
        <w:t xml:space="preserve">, educated in Ferrara, moved to Germany as the wife of </w:t>
      </w:r>
      <w:r w:rsidR="005B7AB1">
        <w:rPr>
          <w:szCs w:val="20"/>
        </w:rPr>
        <w:t>a</w:t>
      </w:r>
      <w:r>
        <w:rPr>
          <w:szCs w:val="20"/>
        </w:rPr>
        <w:t xml:space="preserve"> Protestant doctor </w:t>
      </w:r>
      <w:r w:rsidR="005B7AB1">
        <w:rPr>
          <w:szCs w:val="20"/>
        </w:rPr>
        <w:t>(</w:t>
      </w:r>
      <w:r>
        <w:rPr>
          <w:szCs w:val="20"/>
        </w:rPr>
        <w:t xml:space="preserve">Andreas </w:t>
      </w:r>
      <w:proofErr w:type="spellStart"/>
      <w:r>
        <w:rPr>
          <w:szCs w:val="20"/>
        </w:rPr>
        <w:t>Gundler</w:t>
      </w:r>
      <w:proofErr w:type="spellEnd"/>
      <w:r w:rsidR="005B7AB1">
        <w:rPr>
          <w:szCs w:val="20"/>
        </w:rPr>
        <w:t xml:space="preserve">, </w:t>
      </w:r>
      <w:r>
        <w:rPr>
          <w:szCs w:val="20"/>
        </w:rPr>
        <w:t xml:space="preserve">1550). The couple lived an extraordinary type of reformed marriage, in which the woman was given room for intellectual pursuits. Her works were well </w:t>
      </w:r>
      <w:r w:rsidR="006A2EE9">
        <w:rPr>
          <w:szCs w:val="20"/>
        </w:rPr>
        <w:t>promoted</w:t>
      </w:r>
      <w:r>
        <w:rPr>
          <w:szCs w:val="20"/>
        </w:rPr>
        <w:t xml:space="preserve"> and became Protestant ‘bestsellers’</w:t>
      </w:r>
    </w:p>
    <w:p w14:paraId="14DC52D4" w14:textId="77777777" w:rsidR="007C462B" w:rsidRPr="0061093D" w:rsidRDefault="007C462B" w:rsidP="00320BA2">
      <w:pPr>
        <w:numPr>
          <w:ilvl w:val="0"/>
          <w:numId w:val="3"/>
        </w:numPr>
      </w:pPr>
      <w:r w:rsidRPr="00813627">
        <w:rPr>
          <w:b/>
          <w:szCs w:val="20"/>
        </w:rPr>
        <w:t>Elisabeth of Brandenburg</w:t>
      </w:r>
      <w:r>
        <w:rPr>
          <w:szCs w:val="20"/>
        </w:rPr>
        <w:t xml:space="preserve"> (1510-55)</w:t>
      </w:r>
      <w:r w:rsidR="006A2EE9">
        <w:rPr>
          <w:szCs w:val="20"/>
        </w:rPr>
        <w:t xml:space="preserve"> was</w:t>
      </w:r>
      <w:r>
        <w:rPr>
          <w:szCs w:val="20"/>
        </w:rPr>
        <w:t xml:space="preserve"> born into the electoral Hohenzollern dynasty, married the Duke of Brunswick-</w:t>
      </w:r>
      <w:proofErr w:type="spellStart"/>
      <w:r>
        <w:rPr>
          <w:szCs w:val="20"/>
        </w:rPr>
        <w:t>Calenberg</w:t>
      </w:r>
      <w:proofErr w:type="spellEnd"/>
      <w:r>
        <w:rPr>
          <w:szCs w:val="20"/>
        </w:rPr>
        <w:t xml:space="preserve">, </w:t>
      </w:r>
      <w:r w:rsidR="00DA27B7">
        <w:rPr>
          <w:szCs w:val="20"/>
        </w:rPr>
        <w:t>met/corresponded with</w:t>
      </w:r>
      <w:r>
        <w:rPr>
          <w:szCs w:val="20"/>
        </w:rPr>
        <w:t xml:space="preserve"> Luther</w:t>
      </w:r>
      <w:r w:rsidR="00DA27B7">
        <w:rPr>
          <w:szCs w:val="20"/>
        </w:rPr>
        <w:t xml:space="preserve"> in the 1530s</w:t>
      </w:r>
      <w:r>
        <w:rPr>
          <w:szCs w:val="20"/>
        </w:rPr>
        <w:t xml:space="preserve">, </w:t>
      </w:r>
      <w:r w:rsidR="00DA27B7">
        <w:rPr>
          <w:szCs w:val="20"/>
        </w:rPr>
        <w:t xml:space="preserve">became regent after her husband’s death, </w:t>
      </w:r>
      <w:r>
        <w:rPr>
          <w:szCs w:val="20"/>
        </w:rPr>
        <w:t xml:space="preserve">collaborated with the Hessian reformer Anton Corvinus to establish Protestantism in </w:t>
      </w:r>
      <w:r w:rsidR="00DA27B7">
        <w:rPr>
          <w:szCs w:val="20"/>
        </w:rPr>
        <w:t>the territory during the 1540s</w:t>
      </w:r>
      <w:r>
        <w:rPr>
          <w:szCs w:val="20"/>
        </w:rPr>
        <w:t xml:space="preserve">, </w:t>
      </w:r>
      <w:r w:rsidR="00DA27B7">
        <w:rPr>
          <w:szCs w:val="20"/>
        </w:rPr>
        <w:t>but saw her work undermined by</w:t>
      </w:r>
      <w:r w:rsidR="001B15BE">
        <w:rPr>
          <w:szCs w:val="20"/>
        </w:rPr>
        <w:t xml:space="preserve"> her son’s Catholic leanings after he became prince</w:t>
      </w:r>
    </w:p>
    <w:p w14:paraId="63625299" w14:textId="77777777" w:rsidR="00813627" w:rsidRDefault="00813627" w:rsidP="00813627">
      <w:pPr>
        <w:numPr>
          <w:ilvl w:val="0"/>
          <w:numId w:val="3"/>
        </w:numPr>
      </w:pPr>
      <w:r>
        <w:t xml:space="preserve">Countess </w:t>
      </w:r>
      <w:r w:rsidRPr="00813627">
        <w:rPr>
          <w:b/>
        </w:rPr>
        <w:t xml:space="preserve">Anna of </w:t>
      </w:r>
      <w:proofErr w:type="spellStart"/>
      <w:r w:rsidRPr="00813627">
        <w:rPr>
          <w:b/>
        </w:rPr>
        <w:t>Lodron</w:t>
      </w:r>
      <w:proofErr w:type="spellEnd"/>
      <w:r>
        <w:t xml:space="preserve"> helped to </w:t>
      </w:r>
      <w:r w:rsidR="00EF62FD">
        <w:t>spread</w:t>
      </w:r>
      <w:r>
        <w:t xml:space="preserve"> the new faith in Swabia</w:t>
      </w:r>
      <w:r w:rsidR="00EF62FD">
        <w:t xml:space="preserve">; in Nuremberg, </w:t>
      </w:r>
      <w:r w:rsidR="00EF62FD" w:rsidRPr="00EF62FD">
        <w:rPr>
          <w:b/>
          <w:bCs/>
        </w:rPr>
        <w:t>Magdalena Paumgartner</w:t>
      </w:r>
      <w:r w:rsidR="00EF62FD">
        <w:t xml:space="preserve"> was a pious Lutheran who supported her husband’s trade  </w:t>
      </w:r>
    </w:p>
    <w:p w14:paraId="4E07B1A4" w14:textId="77777777" w:rsidR="0061093D" w:rsidRDefault="0061093D" w:rsidP="00320BA2">
      <w:pPr>
        <w:numPr>
          <w:ilvl w:val="0"/>
          <w:numId w:val="3"/>
        </w:numPr>
      </w:pPr>
      <w:r>
        <w:rPr>
          <w:szCs w:val="20"/>
        </w:rPr>
        <w:t xml:space="preserve">A </w:t>
      </w:r>
      <w:r w:rsidR="00C55243">
        <w:rPr>
          <w:szCs w:val="20"/>
        </w:rPr>
        <w:t>notable</w:t>
      </w:r>
      <w:r>
        <w:rPr>
          <w:szCs w:val="20"/>
        </w:rPr>
        <w:t xml:space="preserve"> number of women became active members of radical </w:t>
      </w:r>
      <w:r w:rsidR="00C55243">
        <w:rPr>
          <w:szCs w:val="20"/>
        </w:rPr>
        <w:t xml:space="preserve">religious </w:t>
      </w:r>
      <w:r>
        <w:rPr>
          <w:szCs w:val="20"/>
        </w:rPr>
        <w:t>groups</w:t>
      </w:r>
    </w:p>
    <w:p w14:paraId="1836B64D" w14:textId="77777777" w:rsidR="00320BA2" w:rsidRDefault="0061093D" w:rsidP="00320BA2">
      <w:pPr>
        <w:numPr>
          <w:ilvl w:val="0"/>
          <w:numId w:val="3"/>
        </w:numPr>
      </w:pPr>
      <w:r>
        <w:rPr>
          <w:szCs w:val="20"/>
        </w:rPr>
        <w:t>‘Normal’</w:t>
      </w:r>
      <w:r w:rsidR="00320BA2">
        <w:rPr>
          <w:szCs w:val="20"/>
        </w:rPr>
        <w:t xml:space="preserve"> women exercised less, but still important influence, e.g. through the creation of a ‘godly’ home, fostering the religious education of children etc.</w:t>
      </w:r>
    </w:p>
    <w:p w14:paraId="05FC53A9" w14:textId="77777777" w:rsidR="0099575A" w:rsidRDefault="0061093D">
      <w:pPr>
        <w:numPr>
          <w:ilvl w:val="0"/>
          <w:numId w:val="1"/>
        </w:numPr>
      </w:pPr>
      <w:r>
        <w:t>Yet t</w:t>
      </w:r>
      <w:r w:rsidR="00320BA2">
        <w:t>here is female resistance, too: s</w:t>
      </w:r>
      <w:r w:rsidR="0099575A">
        <w:t xml:space="preserve">ome nuns refuse to leave their institutions </w:t>
      </w:r>
      <w:r w:rsidR="006A2EE9">
        <w:t>and</w:t>
      </w:r>
      <w:r w:rsidR="0099575A">
        <w:t xml:space="preserve"> oppose Luther (Abbess </w:t>
      </w:r>
      <w:r w:rsidR="0099575A" w:rsidRPr="00813627">
        <w:rPr>
          <w:b/>
        </w:rPr>
        <w:t xml:space="preserve">Caritas </w:t>
      </w:r>
      <w:proofErr w:type="spellStart"/>
      <w:r w:rsidR="0099575A" w:rsidRPr="00813627">
        <w:rPr>
          <w:b/>
        </w:rPr>
        <w:t>Pirckheimer</w:t>
      </w:r>
      <w:proofErr w:type="spellEnd"/>
      <w:r w:rsidR="00813627">
        <w:t>/</w:t>
      </w:r>
      <w:r w:rsidR="0099575A">
        <w:t>Nuremberg</w:t>
      </w:r>
      <w:r w:rsidR="006A3B6F">
        <w:t xml:space="preserve">; </w:t>
      </w:r>
      <w:r w:rsidR="006A2EE9">
        <w:t xml:space="preserve">cf. </w:t>
      </w:r>
      <w:r w:rsidR="006A3B6F">
        <w:t xml:space="preserve">Leonard, </w:t>
      </w:r>
      <w:r w:rsidR="006A3B6F" w:rsidRPr="006A3B6F">
        <w:rPr>
          <w:i/>
        </w:rPr>
        <w:t>Nuns</w:t>
      </w:r>
      <w:r w:rsidR="0099575A">
        <w:t>)</w:t>
      </w:r>
    </w:p>
    <w:p w14:paraId="3C2229E6" w14:textId="77777777" w:rsidR="0099575A" w:rsidRDefault="0099575A">
      <w:pPr>
        <w:numPr>
          <w:ilvl w:val="0"/>
          <w:numId w:val="1"/>
        </w:numPr>
      </w:pPr>
      <w:r>
        <w:t>Overall, however, men direct the course of the Reformation</w:t>
      </w:r>
      <w:r w:rsidR="006A2EE9">
        <w:t xml:space="preserve"> in most respects</w:t>
      </w:r>
    </w:p>
    <w:p w14:paraId="05AE3C8B" w14:textId="77777777" w:rsidR="007C462B" w:rsidRDefault="007C462B">
      <w:pPr>
        <w:rPr>
          <w:u w:val="single"/>
        </w:rPr>
      </w:pPr>
    </w:p>
    <w:p w14:paraId="085547C3" w14:textId="77777777" w:rsidR="0099575A" w:rsidRDefault="0099575A">
      <w:pPr>
        <w:rPr>
          <w:u w:val="single"/>
        </w:rPr>
      </w:pPr>
      <w:r>
        <w:rPr>
          <w:u w:val="single"/>
        </w:rPr>
        <w:t xml:space="preserve">3.  Debating the impact of the Reformation on women in </w:t>
      </w:r>
      <w:smartTag w:uri="urn:schemas-microsoft-com:office:smarttags" w:element="country-region">
        <w:smartTag w:uri="urn:schemas-microsoft-com:office:smarttags" w:element="place">
          <w:r>
            <w:rPr>
              <w:u w:val="single"/>
            </w:rPr>
            <w:t>Germany</w:t>
          </w:r>
        </w:smartTag>
      </w:smartTag>
    </w:p>
    <w:p w14:paraId="4AAEBE35" w14:textId="77777777" w:rsidR="0099575A" w:rsidRDefault="0099575A">
      <w:pPr>
        <w:numPr>
          <w:ilvl w:val="0"/>
          <w:numId w:val="1"/>
        </w:numPr>
      </w:pPr>
      <w:r>
        <w:t xml:space="preserve">Ozment’s positive view challenged by </w:t>
      </w:r>
      <w:r w:rsidR="006A2EE9">
        <w:t xml:space="preserve">e.g. </w:t>
      </w:r>
      <w:r>
        <w:t>Roper</w:t>
      </w:r>
      <w:r w:rsidR="006B7DC0">
        <w:t xml:space="preserve">, </w:t>
      </w:r>
      <w:proofErr w:type="spellStart"/>
      <w:r w:rsidR="006B7DC0">
        <w:t>Karant</w:t>
      </w:r>
      <w:proofErr w:type="spellEnd"/>
      <w:r w:rsidR="006B7DC0">
        <w:t>-Nunn</w:t>
      </w:r>
      <w:r>
        <w:t xml:space="preserve"> and Wiesner</w:t>
      </w:r>
    </w:p>
    <w:p w14:paraId="2CC3E433" w14:textId="77777777" w:rsidR="0099575A" w:rsidRDefault="0099575A">
      <w:pPr>
        <w:numPr>
          <w:ilvl w:val="0"/>
          <w:numId w:val="1"/>
        </w:numPr>
      </w:pPr>
      <w:r>
        <w:t xml:space="preserve">Greater spiritual equality (priesthood of all believers / </w:t>
      </w:r>
      <w:r>
        <w:rPr>
          <w:i/>
          <w:iCs/>
        </w:rPr>
        <w:t>sola fide</w:t>
      </w:r>
      <w:r>
        <w:t xml:space="preserve"> principle) balanced by closure of nunneries and loss of female role models (saints)</w:t>
      </w:r>
    </w:p>
    <w:p w14:paraId="72165669" w14:textId="77777777" w:rsidR="0099575A" w:rsidRDefault="0099575A">
      <w:pPr>
        <w:numPr>
          <w:ilvl w:val="0"/>
          <w:numId w:val="1"/>
        </w:numPr>
      </w:pPr>
      <w:r>
        <w:t>Case studies find enhanced patriarchal control (in households and economy)</w:t>
      </w:r>
    </w:p>
    <w:p w14:paraId="5DFDEAD6" w14:textId="77777777" w:rsidR="0099575A" w:rsidRDefault="0099575A">
      <w:pPr>
        <w:numPr>
          <w:ilvl w:val="0"/>
          <w:numId w:val="1"/>
        </w:numPr>
      </w:pPr>
      <w:r>
        <w:t>Divorce now a possibility in Protestant churches, but difficult to achieve</w:t>
      </w:r>
      <w:r w:rsidR="00C55243">
        <w:t xml:space="preserve"> in practice</w:t>
      </w:r>
    </w:p>
    <w:p w14:paraId="7126F4C6" w14:textId="77777777" w:rsidR="0099575A" w:rsidRDefault="001B15BE">
      <w:pPr>
        <w:pStyle w:val="Heading2"/>
      </w:pPr>
      <w:r>
        <w:br/>
      </w:r>
      <w:r w:rsidR="0099575A">
        <w:t>Conclusions</w:t>
      </w:r>
    </w:p>
    <w:p w14:paraId="7E893262" w14:textId="77777777" w:rsidR="0099575A" w:rsidRDefault="0099575A">
      <w:pPr>
        <w:numPr>
          <w:ilvl w:val="0"/>
          <w:numId w:val="1"/>
        </w:numPr>
      </w:pPr>
      <w:r>
        <w:t>Luther’s views and marriage relations set models for reformed households</w:t>
      </w:r>
    </w:p>
    <w:p w14:paraId="705ECD83" w14:textId="77777777" w:rsidR="0099575A" w:rsidRDefault="0099575A">
      <w:pPr>
        <w:numPr>
          <w:ilvl w:val="0"/>
          <w:numId w:val="1"/>
        </w:numPr>
      </w:pPr>
      <w:r>
        <w:rPr>
          <w:szCs w:val="32"/>
          <w:lang w:val="en-US"/>
        </w:rPr>
        <w:t xml:space="preserve">Protestant doctrine implies spiritual equality of sexes but closes some traditional outlets for female spirituality </w:t>
      </w:r>
      <w:r w:rsidR="006A2EE9">
        <w:rPr>
          <w:szCs w:val="32"/>
          <w:lang w:val="en-US"/>
        </w:rPr>
        <w:t>&amp; agency</w:t>
      </w:r>
    </w:p>
    <w:p w14:paraId="7FFF1ACA" w14:textId="77777777" w:rsidR="0099575A" w:rsidRDefault="006A2EE9">
      <w:pPr>
        <w:numPr>
          <w:ilvl w:val="0"/>
          <w:numId w:val="1"/>
        </w:numPr>
      </w:pPr>
      <w:r>
        <w:rPr>
          <w:szCs w:val="32"/>
          <w:lang w:val="en-US"/>
        </w:rPr>
        <w:t xml:space="preserve">Importantly, the </w:t>
      </w:r>
      <w:r w:rsidR="0099575A">
        <w:rPr>
          <w:szCs w:val="32"/>
          <w:lang w:val="en-US"/>
        </w:rPr>
        <w:t xml:space="preserve">Reformation impact </w:t>
      </w:r>
      <w:r>
        <w:rPr>
          <w:szCs w:val="32"/>
          <w:lang w:val="en-US"/>
        </w:rPr>
        <w:t xml:space="preserve">needs </w:t>
      </w:r>
      <w:r w:rsidR="0099575A">
        <w:rPr>
          <w:szCs w:val="32"/>
          <w:lang w:val="en-US"/>
        </w:rPr>
        <w:t xml:space="preserve">to be balanced </w:t>
      </w:r>
      <w:r>
        <w:rPr>
          <w:szCs w:val="32"/>
          <w:lang w:val="en-US"/>
        </w:rPr>
        <w:t>against evidence for</w:t>
      </w:r>
      <w:r w:rsidR="0099575A">
        <w:rPr>
          <w:szCs w:val="32"/>
          <w:lang w:val="en-US"/>
        </w:rPr>
        <w:t xml:space="preserve"> continuities</w:t>
      </w:r>
      <w:r w:rsidR="0012382A">
        <w:rPr>
          <w:szCs w:val="32"/>
          <w:lang w:val="en-US"/>
        </w:rPr>
        <w:t xml:space="preserve">, general socio-economic </w:t>
      </w:r>
      <w:r w:rsidR="00F418CC">
        <w:rPr>
          <w:szCs w:val="32"/>
          <w:lang w:val="en-US"/>
        </w:rPr>
        <w:t>pressures</w:t>
      </w:r>
      <w:r w:rsidR="0099575A">
        <w:rPr>
          <w:szCs w:val="32"/>
          <w:lang w:val="en-US"/>
        </w:rPr>
        <w:t xml:space="preserve"> and shared Catholic concerns</w:t>
      </w:r>
    </w:p>
    <w:p w14:paraId="78B3AF7D" w14:textId="77777777" w:rsidR="0099575A" w:rsidRDefault="0099575A">
      <w:pPr>
        <w:pStyle w:val="Heading2"/>
      </w:pPr>
    </w:p>
    <w:p w14:paraId="20605535" w14:textId="77777777" w:rsidR="0099575A" w:rsidRDefault="006B7DC0">
      <w:pPr>
        <w:pStyle w:val="Heading2"/>
      </w:pPr>
      <w:r>
        <w:t>Recommended</w:t>
      </w:r>
      <w:r w:rsidR="0099575A">
        <w:t xml:space="preserve"> reading</w:t>
      </w:r>
    </w:p>
    <w:p w14:paraId="2AB1A367" w14:textId="77777777" w:rsidR="0099575A" w:rsidRDefault="00C03036" w:rsidP="00C03036">
      <w:pPr>
        <w:ind w:left="284"/>
      </w:pPr>
      <w:r>
        <w:t>a) Gender history in general</w:t>
      </w:r>
    </w:p>
    <w:p w14:paraId="7BD67564" w14:textId="77777777" w:rsidR="00C03036" w:rsidRPr="00C03036" w:rsidRDefault="00C03036">
      <w:pPr>
        <w:ind w:left="284" w:hanging="284"/>
        <w:rPr>
          <w:sz w:val="22"/>
          <w:szCs w:val="22"/>
        </w:rPr>
      </w:pPr>
      <w:r w:rsidRPr="00C03036">
        <w:rPr>
          <w:sz w:val="22"/>
          <w:szCs w:val="22"/>
        </w:rPr>
        <w:t xml:space="preserve">Merry Wiesner, </w:t>
      </w:r>
      <w:r w:rsidRPr="00C03036">
        <w:rPr>
          <w:i/>
          <w:sz w:val="22"/>
          <w:szCs w:val="22"/>
        </w:rPr>
        <w:t>Women and Gender in Early Modern Europe</w:t>
      </w:r>
      <w:r w:rsidRPr="00C03036">
        <w:rPr>
          <w:sz w:val="22"/>
          <w:szCs w:val="22"/>
        </w:rPr>
        <w:t xml:space="preserve"> (</w:t>
      </w:r>
      <w:r w:rsidR="00C55243">
        <w:rPr>
          <w:sz w:val="22"/>
          <w:szCs w:val="22"/>
        </w:rPr>
        <w:t>4th</w:t>
      </w:r>
      <w:r w:rsidR="00F418CC">
        <w:rPr>
          <w:sz w:val="22"/>
          <w:szCs w:val="22"/>
        </w:rPr>
        <w:t xml:space="preserve"> </w:t>
      </w:r>
      <w:proofErr w:type="spellStart"/>
      <w:r w:rsidR="00F418CC">
        <w:rPr>
          <w:sz w:val="22"/>
          <w:szCs w:val="22"/>
        </w:rPr>
        <w:t>edn</w:t>
      </w:r>
      <w:proofErr w:type="spellEnd"/>
      <w:r w:rsidR="00F418CC">
        <w:rPr>
          <w:sz w:val="22"/>
          <w:szCs w:val="22"/>
        </w:rPr>
        <w:t xml:space="preserve"> </w:t>
      </w:r>
      <w:r w:rsidR="00C55243">
        <w:rPr>
          <w:sz w:val="22"/>
          <w:szCs w:val="22"/>
        </w:rPr>
        <w:t xml:space="preserve">&amp; companion </w:t>
      </w:r>
      <w:r w:rsidR="00F418CC">
        <w:rPr>
          <w:sz w:val="22"/>
          <w:szCs w:val="22"/>
        </w:rPr>
        <w:t>site</w:t>
      </w:r>
      <w:r w:rsidRPr="00C03036">
        <w:rPr>
          <w:sz w:val="22"/>
          <w:szCs w:val="22"/>
        </w:rPr>
        <w:t xml:space="preserve">, </w:t>
      </w:r>
      <w:r w:rsidR="00F418CC">
        <w:rPr>
          <w:sz w:val="22"/>
          <w:szCs w:val="22"/>
        </w:rPr>
        <w:t>20</w:t>
      </w:r>
      <w:r w:rsidR="00C55243">
        <w:rPr>
          <w:sz w:val="22"/>
          <w:szCs w:val="22"/>
        </w:rPr>
        <w:t>19</w:t>
      </w:r>
      <w:r w:rsidRPr="00C03036">
        <w:rPr>
          <w:sz w:val="22"/>
          <w:szCs w:val="22"/>
        </w:rPr>
        <w:t>)</w:t>
      </w:r>
    </w:p>
    <w:p w14:paraId="6D626866" w14:textId="77777777" w:rsidR="00C03036" w:rsidRDefault="00C03036">
      <w:pPr>
        <w:ind w:left="284" w:hanging="284"/>
      </w:pPr>
    </w:p>
    <w:p w14:paraId="734C009F" w14:textId="77777777" w:rsidR="00C03036" w:rsidRDefault="00C03036">
      <w:pPr>
        <w:ind w:left="284" w:hanging="284"/>
      </w:pPr>
      <w:r>
        <w:tab/>
        <w:t xml:space="preserve">b) </w:t>
      </w:r>
      <w:r w:rsidR="006B7DC0">
        <w:t>Primary sources</w:t>
      </w:r>
    </w:p>
    <w:p w14:paraId="45C0BF6F" w14:textId="77777777" w:rsidR="00C03036" w:rsidRDefault="00C03036">
      <w:pPr>
        <w:ind w:left="284" w:hanging="284"/>
        <w:rPr>
          <w:sz w:val="22"/>
          <w:szCs w:val="22"/>
        </w:rPr>
      </w:pPr>
      <w:r w:rsidRPr="00C03036">
        <w:rPr>
          <w:sz w:val="22"/>
          <w:szCs w:val="22"/>
        </w:rPr>
        <w:t xml:space="preserve">S. </w:t>
      </w:r>
      <w:proofErr w:type="spellStart"/>
      <w:r w:rsidRPr="00C03036">
        <w:rPr>
          <w:sz w:val="22"/>
          <w:szCs w:val="22"/>
        </w:rPr>
        <w:t>Karant</w:t>
      </w:r>
      <w:proofErr w:type="spellEnd"/>
      <w:r w:rsidRPr="00C03036">
        <w:rPr>
          <w:sz w:val="22"/>
          <w:szCs w:val="22"/>
        </w:rPr>
        <w:t xml:space="preserve">-Nunn &amp; M. Wiesner (eds), </w:t>
      </w:r>
      <w:r w:rsidRPr="00C03036">
        <w:rPr>
          <w:i/>
          <w:sz w:val="22"/>
          <w:szCs w:val="22"/>
        </w:rPr>
        <w:t>Luther on Women: A Sourcebook</w:t>
      </w:r>
      <w:r w:rsidRPr="00C03036">
        <w:rPr>
          <w:sz w:val="22"/>
          <w:szCs w:val="22"/>
        </w:rPr>
        <w:t xml:space="preserve"> (</w:t>
      </w:r>
      <w:smartTag w:uri="urn:schemas-microsoft-com:office:smarttags" w:element="City">
        <w:smartTag w:uri="urn:schemas-microsoft-com:office:smarttags" w:element="place">
          <w:r w:rsidRPr="00C03036">
            <w:rPr>
              <w:sz w:val="22"/>
              <w:szCs w:val="22"/>
            </w:rPr>
            <w:t>Cambridge</w:t>
          </w:r>
        </w:smartTag>
      </w:smartTag>
      <w:r w:rsidRPr="00C03036">
        <w:rPr>
          <w:sz w:val="22"/>
          <w:szCs w:val="22"/>
        </w:rPr>
        <w:t>, 2003)</w:t>
      </w:r>
    </w:p>
    <w:p w14:paraId="0E7CDFEA" w14:textId="77777777" w:rsidR="00C03036" w:rsidRPr="006B7DC0" w:rsidRDefault="000B4698" w:rsidP="006B7DC0">
      <w:pPr>
        <w:spacing w:after="240"/>
        <w:rPr>
          <w:sz w:val="22"/>
          <w:szCs w:val="22"/>
        </w:rPr>
      </w:pPr>
      <w:r>
        <w:rPr>
          <w:sz w:val="22"/>
          <w:szCs w:val="22"/>
        </w:rPr>
        <w:t xml:space="preserve">P. Matheson (ed.), </w:t>
      </w:r>
      <w:proofErr w:type="spellStart"/>
      <w:r w:rsidRPr="000B4698">
        <w:rPr>
          <w:i/>
          <w:sz w:val="22"/>
          <w:szCs w:val="22"/>
        </w:rPr>
        <w:t>Argula</w:t>
      </w:r>
      <w:proofErr w:type="spellEnd"/>
      <w:r w:rsidRPr="000B4698">
        <w:rPr>
          <w:i/>
          <w:sz w:val="22"/>
          <w:szCs w:val="22"/>
        </w:rPr>
        <w:t xml:space="preserve"> von Grumbach: </w:t>
      </w:r>
      <w:r w:rsidR="005E44B9">
        <w:rPr>
          <w:i/>
          <w:sz w:val="22"/>
          <w:szCs w:val="22"/>
        </w:rPr>
        <w:t>A Woman’s Voice in the Reformation</w:t>
      </w:r>
      <w:r>
        <w:rPr>
          <w:sz w:val="22"/>
          <w:szCs w:val="22"/>
        </w:rPr>
        <w:t xml:space="preserve"> (</w:t>
      </w:r>
      <w:r w:rsidR="005E44B9">
        <w:rPr>
          <w:sz w:val="22"/>
          <w:szCs w:val="22"/>
        </w:rPr>
        <w:t>1995</w:t>
      </w:r>
      <w:r>
        <w:rPr>
          <w:sz w:val="22"/>
          <w:szCs w:val="22"/>
        </w:rPr>
        <w:t xml:space="preserve">) </w:t>
      </w:r>
      <w:r>
        <w:rPr>
          <w:sz w:val="22"/>
          <w:szCs w:val="22"/>
        </w:rPr>
        <w:br/>
      </w:r>
      <w:r w:rsidR="006B7DC0">
        <w:rPr>
          <w:sz w:val="22"/>
          <w:szCs w:val="22"/>
        </w:rPr>
        <w:t xml:space="preserve">E. </w:t>
      </w:r>
      <w:r w:rsidR="006B7DC0" w:rsidRPr="006B7DC0">
        <w:rPr>
          <w:sz w:val="22"/>
          <w:szCs w:val="22"/>
        </w:rPr>
        <w:t xml:space="preserve">McKee (ed.), </w:t>
      </w:r>
      <w:r w:rsidR="0012382A">
        <w:rPr>
          <w:rStyle w:val="Emphasis"/>
          <w:sz w:val="22"/>
          <w:szCs w:val="22"/>
        </w:rPr>
        <w:t xml:space="preserve">Church Mother: </w:t>
      </w:r>
      <w:r w:rsidR="006B7DC0" w:rsidRPr="006B7DC0">
        <w:rPr>
          <w:rStyle w:val="Emphasis"/>
          <w:sz w:val="22"/>
          <w:szCs w:val="22"/>
        </w:rPr>
        <w:t xml:space="preserve">Writings of a Protestant Reformer in </w:t>
      </w:r>
      <w:r w:rsidR="0012382A">
        <w:rPr>
          <w:rStyle w:val="Emphasis"/>
          <w:sz w:val="22"/>
          <w:szCs w:val="22"/>
        </w:rPr>
        <w:t>16thC</w:t>
      </w:r>
      <w:r w:rsidR="006B7DC0" w:rsidRPr="006B7DC0">
        <w:rPr>
          <w:rStyle w:val="Emphasis"/>
          <w:sz w:val="22"/>
          <w:szCs w:val="22"/>
        </w:rPr>
        <w:t xml:space="preserve"> Germany</w:t>
      </w:r>
      <w:r w:rsidR="006B7DC0">
        <w:rPr>
          <w:sz w:val="22"/>
          <w:szCs w:val="22"/>
        </w:rPr>
        <w:t xml:space="preserve"> (2006)</w:t>
      </w:r>
    </w:p>
    <w:p w14:paraId="67A6DEA2" w14:textId="77777777" w:rsidR="00C03036" w:rsidRDefault="00C03036" w:rsidP="00C03036">
      <w:pPr>
        <w:ind w:left="284"/>
      </w:pPr>
      <w:r>
        <w:t xml:space="preserve">c) </w:t>
      </w:r>
      <w:r w:rsidR="000B4698">
        <w:t xml:space="preserve">A contribution </w:t>
      </w:r>
      <w:r w:rsidR="006B7DC0">
        <w:t>to t</w:t>
      </w:r>
      <w:r>
        <w:t xml:space="preserve">he ‘Reformation Impact’ debate </w:t>
      </w:r>
    </w:p>
    <w:p w14:paraId="07B7E9C3" w14:textId="77777777" w:rsidR="00767C28" w:rsidRDefault="00767C28">
      <w:pPr>
        <w:ind w:left="284" w:hanging="284"/>
        <w:rPr>
          <w:sz w:val="22"/>
          <w:szCs w:val="22"/>
        </w:rPr>
      </w:pPr>
      <w:r>
        <w:rPr>
          <w:sz w:val="22"/>
          <w:szCs w:val="22"/>
        </w:rPr>
        <w:t xml:space="preserve">S. </w:t>
      </w:r>
      <w:proofErr w:type="spellStart"/>
      <w:r>
        <w:rPr>
          <w:sz w:val="22"/>
          <w:szCs w:val="22"/>
        </w:rPr>
        <w:t>Burgartz</w:t>
      </w:r>
      <w:proofErr w:type="spellEnd"/>
      <w:r>
        <w:rPr>
          <w:sz w:val="22"/>
          <w:szCs w:val="22"/>
        </w:rPr>
        <w:t xml:space="preserve">, ‘Tales of Seduction, Tales of Violence: Argumentative Strategies before the Basel Marriage Court’, in: </w:t>
      </w:r>
      <w:r w:rsidRPr="00767C28">
        <w:rPr>
          <w:i/>
          <w:sz w:val="22"/>
          <w:szCs w:val="22"/>
        </w:rPr>
        <w:t>German History</w:t>
      </w:r>
      <w:r>
        <w:rPr>
          <w:sz w:val="22"/>
          <w:szCs w:val="22"/>
        </w:rPr>
        <w:t xml:space="preserve"> 17 (1999), 41-56 </w:t>
      </w:r>
    </w:p>
    <w:p w14:paraId="358F8973" w14:textId="77777777" w:rsidR="00767C28" w:rsidRPr="00C03036" w:rsidRDefault="00767C28">
      <w:pPr>
        <w:ind w:left="284" w:hanging="284"/>
        <w:rPr>
          <w:sz w:val="22"/>
          <w:szCs w:val="22"/>
        </w:rPr>
      </w:pPr>
    </w:p>
    <w:p w14:paraId="5E98CFAD" w14:textId="77777777" w:rsidR="0099575A" w:rsidRPr="00C03036" w:rsidRDefault="0099575A">
      <w:pPr>
        <w:ind w:left="284" w:hanging="284"/>
        <w:rPr>
          <w:sz w:val="22"/>
          <w:szCs w:val="22"/>
        </w:rPr>
      </w:pPr>
      <w:r w:rsidRPr="00C03036">
        <w:rPr>
          <w:sz w:val="22"/>
          <w:szCs w:val="22"/>
        </w:rPr>
        <w:t xml:space="preserve">Diarmaid MacCulloch, </w:t>
      </w:r>
      <w:r w:rsidRPr="00C03036">
        <w:rPr>
          <w:i/>
          <w:iCs/>
          <w:sz w:val="22"/>
          <w:szCs w:val="22"/>
        </w:rPr>
        <w:t xml:space="preserve">Reformation: Europe’s House Divided 1490-1700 </w:t>
      </w:r>
      <w:r w:rsidRPr="00C03036">
        <w:rPr>
          <w:sz w:val="22"/>
          <w:szCs w:val="22"/>
        </w:rPr>
        <w:t>(London, 2003), esp.:</w:t>
      </w:r>
    </w:p>
    <w:p w14:paraId="276403F4" w14:textId="77777777" w:rsidR="0099575A" w:rsidRPr="00C03036" w:rsidRDefault="0099575A">
      <w:pPr>
        <w:ind w:left="284" w:hanging="284"/>
        <w:rPr>
          <w:sz w:val="22"/>
          <w:szCs w:val="22"/>
        </w:rPr>
      </w:pPr>
    </w:p>
    <w:p w14:paraId="42F874E4" w14:textId="77777777" w:rsidR="0099575A" w:rsidRPr="00C03036" w:rsidRDefault="0099575A">
      <w:pPr>
        <w:numPr>
          <w:ilvl w:val="0"/>
          <w:numId w:val="2"/>
        </w:numPr>
        <w:rPr>
          <w:sz w:val="22"/>
          <w:szCs w:val="22"/>
        </w:rPr>
      </w:pPr>
      <w:smartTag w:uri="urn:schemas-microsoft-com:office:smarttags" w:element="country-region">
        <w:smartTag w:uri="urn:schemas-microsoft-com:office:smarttags" w:element="place">
          <w:r w:rsidRPr="00C03036">
            <w:rPr>
              <w:sz w:val="22"/>
              <w:szCs w:val="22"/>
            </w:rPr>
            <w:t>Ch.</w:t>
          </w:r>
        </w:smartTag>
      </w:smartTag>
      <w:r w:rsidRPr="00C03036">
        <w:rPr>
          <w:sz w:val="22"/>
          <w:szCs w:val="22"/>
        </w:rPr>
        <w:t xml:space="preserve"> 15: ‘Love and Sex: Staying the Same’ </w:t>
      </w:r>
      <w:r w:rsidR="00C55243">
        <w:rPr>
          <w:sz w:val="22"/>
          <w:szCs w:val="22"/>
        </w:rPr>
        <w:t xml:space="preserve">– </w:t>
      </w:r>
      <w:r w:rsidRPr="00C03036">
        <w:rPr>
          <w:sz w:val="22"/>
          <w:szCs w:val="22"/>
        </w:rPr>
        <w:t>emphasiz</w:t>
      </w:r>
      <w:r w:rsidR="001B15BE">
        <w:rPr>
          <w:sz w:val="22"/>
          <w:szCs w:val="22"/>
        </w:rPr>
        <w:t>es</w:t>
      </w:r>
      <w:r w:rsidRPr="00C03036">
        <w:rPr>
          <w:sz w:val="22"/>
          <w:szCs w:val="22"/>
        </w:rPr>
        <w:t xml:space="preserve"> continuities such as nuclear families, patriarchal control and medical views of male/female bodies</w:t>
      </w:r>
    </w:p>
    <w:p w14:paraId="50A93315" w14:textId="77777777" w:rsidR="0099575A" w:rsidRPr="00C03036" w:rsidRDefault="0099575A">
      <w:pPr>
        <w:numPr>
          <w:ilvl w:val="0"/>
          <w:numId w:val="2"/>
        </w:numPr>
        <w:rPr>
          <w:sz w:val="22"/>
          <w:szCs w:val="22"/>
        </w:rPr>
      </w:pPr>
      <w:r w:rsidRPr="00C03036">
        <w:rPr>
          <w:sz w:val="22"/>
          <w:szCs w:val="22"/>
        </w:rPr>
        <w:t xml:space="preserve">Ch.16: ‘Love and Sex: Moving On’ </w:t>
      </w:r>
      <w:r w:rsidR="00C55243">
        <w:rPr>
          <w:sz w:val="22"/>
          <w:szCs w:val="22"/>
        </w:rPr>
        <w:t xml:space="preserve">– </w:t>
      </w:r>
      <w:r w:rsidRPr="00C03036">
        <w:rPr>
          <w:sz w:val="22"/>
          <w:szCs w:val="22"/>
        </w:rPr>
        <w:t xml:space="preserve">exploring areas of change, e.g. Protestantism’s rejection of the ideals of virginity and celibacy, but also identifying other factors like rise of syphilis, and shared Protestant-Catholic concerns with a ‘Reformation of Manners’ and stricter controls on clandestine marriages / extra-marital sexual relations </w:t>
      </w:r>
    </w:p>
    <w:p w14:paraId="061987D2" w14:textId="77777777" w:rsidR="0099575A" w:rsidRPr="00C03036" w:rsidRDefault="0099575A">
      <w:pPr>
        <w:pStyle w:val="HTMLPreformatted"/>
        <w:rPr>
          <w:rFonts w:ascii="Times New Roman" w:hAnsi="Times New Roman" w:cs="Times New Roman"/>
          <w:sz w:val="22"/>
          <w:szCs w:val="22"/>
        </w:rPr>
      </w:pPr>
    </w:p>
    <w:p w14:paraId="1C7C38F1" w14:textId="77777777" w:rsidR="0099575A" w:rsidRPr="0016464D" w:rsidRDefault="0099575A">
      <w:pPr>
        <w:pStyle w:val="HTMLPreformatted"/>
        <w:rPr>
          <w:rFonts w:ascii="Times New Roman" w:hAnsi="Times New Roman" w:cs="Times New Roman"/>
        </w:rPr>
      </w:pPr>
      <w:r w:rsidRPr="0016464D">
        <w:rPr>
          <w:rFonts w:ascii="Times New Roman" w:hAnsi="Times New Roman" w:cs="Times New Roman"/>
        </w:rPr>
        <w:t xml:space="preserve">‘The Reformation era saw a barrage of rhetoric about the importance of the family, and the role of the father as its head. There was very little new in this, but what was new was its assertion among Protestants at the expense of the role of virginity and celibacy.’ [MacCulloch, </w:t>
      </w:r>
      <w:r w:rsidR="00732E38">
        <w:rPr>
          <w:rFonts w:ascii="Times New Roman" w:hAnsi="Times New Roman" w:cs="Times New Roman"/>
          <w:i/>
        </w:rPr>
        <w:t xml:space="preserve">Reformation, </w:t>
      </w:r>
      <w:r w:rsidRPr="0016464D">
        <w:rPr>
          <w:rFonts w:ascii="Times New Roman" w:hAnsi="Times New Roman" w:cs="Times New Roman"/>
        </w:rPr>
        <w:t>647]</w:t>
      </w:r>
    </w:p>
    <w:p w14:paraId="64A12B1F" w14:textId="77777777" w:rsidR="0012382A" w:rsidRDefault="0012382A">
      <w:pPr>
        <w:pStyle w:val="HTMLPreformatted"/>
        <w:rPr>
          <w:rFonts w:ascii="Times New Roman" w:hAnsi="Times New Roman" w:cs="Times New Roman"/>
          <w:sz w:val="22"/>
          <w:szCs w:val="22"/>
        </w:rPr>
      </w:pPr>
    </w:p>
    <w:p w14:paraId="16003F99" w14:textId="77777777" w:rsidR="0016464D" w:rsidRPr="0016464D" w:rsidRDefault="0016464D" w:rsidP="0016464D">
      <w:pPr>
        <w:spacing w:after="240"/>
        <w:ind w:left="284" w:hanging="284"/>
        <w:rPr>
          <w:sz w:val="22"/>
          <w:szCs w:val="22"/>
          <w:lang w:val="de-DE"/>
        </w:rPr>
      </w:pPr>
      <w:r w:rsidRPr="0016464D">
        <w:rPr>
          <w:sz w:val="22"/>
          <w:szCs w:val="22"/>
        </w:rPr>
        <w:t>K.</w:t>
      </w:r>
      <w:r w:rsidR="000B4698">
        <w:rPr>
          <w:sz w:val="22"/>
          <w:szCs w:val="22"/>
        </w:rPr>
        <w:t xml:space="preserve"> </w:t>
      </w:r>
      <w:r w:rsidRPr="0016464D">
        <w:rPr>
          <w:sz w:val="22"/>
          <w:szCs w:val="22"/>
        </w:rPr>
        <w:t xml:space="preserve">Stjerna, </w:t>
      </w:r>
      <w:r w:rsidRPr="0016464D">
        <w:rPr>
          <w:rStyle w:val="Emphasis"/>
          <w:sz w:val="22"/>
          <w:szCs w:val="22"/>
        </w:rPr>
        <w:t>Women and the Reformation</w:t>
      </w:r>
      <w:r w:rsidRPr="0016464D">
        <w:rPr>
          <w:sz w:val="22"/>
          <w:szCs w:val="22"/>
        </w:rPr>
        <w:t xml:space="preserve"> (Oxford, 2009), esp. </w:t>
      </w:r>
      <w:r w:rsidRPr="0016464D">
        <w:rPr>
          <w:sz w:val="22"/>
          <w:szCs w:val="22"/>
          <w:lang w:val="de-DE"/>
        </w:rPr>
        <w:t xml:space="preserve">Part II, chs 5-8 (Bora, Grumbach, Elisabeth von Brandenburg, Schütz Zell) </w:t>
      </w:r>
    </w:p>
    <w:p w14:paraId="22948350" w14:textId="77777777" w:rsidR="0016464D" w:rsidRDefault="00000000" w:rsidP="00694EA9">
      <w:pPr>
        <w:pStyle w:val="HTMLPreformatted"/>
        <w:rPr>
          <w:rFonts w:ascii="Times New Roman" w:hAnsi="Times New Roman" w:cs="Times New Roman"/>
          <w:sz w:val="24"/>
        </w:rPr>
      </w:pPr>
      <w:r>
        <w:rPr>
          <w:rFonts w:ascii="Times New Roman" w:hAnsi="Times New Roman" w:cs="Times New Roman"/>
          <w:sz w:val="24"/>
        </w:rPr>
        <w:pict w14:anchorId="4BCDBE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2.5pt;height:119pt">
            <v:imagedata r:id="rId5" o:title="Cranach E (Bora 1525)"/>
          </v:shape>
        </w:pict>
      </w:r>
      <w:r w:rsidR="0016464D" w:rsidRPr="0016464D">
        <w:rPr>
          <w:rFonts w:ascii="Times New Roman" w:hAnsi="Times New Roman" w:cs="Times New Roman"/>
          <w:sz w:val="24"/>
        </w:rPr>
        <w:t xml:space="preserve"> </w:t>
      </w:r>
      <w:r w:rsidR="006A2EE9">
        <w:rPr>
          <w:rFonts w:ascii="Times New Roman" w:hAnsi="Times New Roman" w:cs="Times New Roman"/>
          <w:sz w:val="24"/>
        </w:rPr>
        <w:t xml:space="preserve">  Lucas Cranach t. E., Portrait of Katharina von Bora (1525)</w:t>
      </w:r>
    </w:p>
    <w:sectPr w:rsidR="0016464D" w:rsidSect="00C03036">
      <w:pgSz w:w="11906" w:h="16838"/>
      <w:pgMar w:top="1361" w:right="1701" w:bottom="136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706DB5"/>
    <w:multiLevelType w:val="hybridMultilevel"/>
    <w:tmpl w:val="F7D6838E"/>
    <w:lvl w:ilvl="0" w:tplc="68A28C02">
      <w:start w:val="1"/>
      <w:numFmt w:val="bullet"/>
      <w:lvlText w:val=""/>
      <w:lvlJc w:val="left"/>
      <w:pPr>
        <w:tabs>
          <w:tab w:val="num" w:pos="360"/>
        </w:tabs>
        <w:ind w:left="357" w:hanging="35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7ED0423"/>
    <w:multiLevelType w:val="hybridMultilevel"/>
    <w:tmpl w:val="98E067A0"/>
    <w:lvl w:ilvl="0" w:tplc="DF8C9062">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03B7ED9"/>
    <w:multiLevelType w:val="hybridMultilevel"/>
    <w:tmpl w:val="2D708A90"/>
    <w:lvl w:ilvl="0" w:tplc="758AA8F0">
      <w:numFmt w:val="bullet"/>
      <w:lvlText w:val="-"/>
      <w:lvlJc w:val="left"/>
      <w:pPr>
        <w:tabs>
          <w:tab w:val="num" w:pos="360"/>
        </w:tabs>
        <w:ind w:left="357" w:hanging="357"/>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819031863">
    <w:abstractNumId w:val="0"/>
  </w:num>
  <w:num w:numId="2" w16cid:durableId="998383309">
    <w:abstractNumId w:val="1"/>
  </w:num>
  <w:num w:numId="3" w16cid:durableId="15615990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noPunctuationKerning/>
  <w:characterSpacingControl w:val="doNotCompress"/>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20BA2"/>
    <w:rsid w:val="000B4698"/>
    <w:rsid w:val="0012382A"/>
    <w:rsid w:val="00144497"/>
    <w:rsid w:val="0016464D"/>
    <w:rsid w:val="001B15BE"/>
    <w:rsid w:val="00287FA9"/>
    <w:rsid w:val="002E7154"/>
    <w:rsid w:val="002F59E6"/>
    <w:rsid w:val="00320BA2"/>
    <w:rsid w:val="004152C3"/>
    <w:rsid w:val="00486F8F"/>
    <w:rsid w:val="00487912"/>
    <w:rsid w:val="005218D1"/>
    <w:rsid w:val="005B7AB1"/>
    <w:rsid w:val="005E44B9"/>
    <w:rsid w:val="0061093D"/>
    <w:rsid w:val="00653FB1"/>
    <w:rsid w:val="00694EA9"/>
    <w:rsid w:val="006A2EE9"/>
    <w:rsid w:val="006A3B6F"/>
    <w:rsid w:val="006B7DC0"/>
    <w:rsid w:val="0070649C"/>
    <w:rsid w:val="00732E38"/>
    <w:rsid w:val="00752A78"/>
    <w:rsid w:val="00767C28"/>
    <w:rsid w:val="00780BC1"/>
    <w:rsid w:val="007C462B"/>
    <w:rsid w:val="007D0A14"/>
    <w:rsid w:val="00813627"/>
    <w:rsid w:val="0099575A"/>
    <w:rsid w:val="009E3760"/>
    <w:rsid w:val="00A159A4"/>
    <w:rsid w:val="00AE12C8"/>
    <w:rsid w:val="00C00E4E"/>
    <w:rsid w:val="00C03036"/>
    <w:rsid w:val="00C55243"/>
    <w:rsid w:val="00CE3383"/>
    <w:rsid w:val="00D111A1"/>
    <w:rsid w:val="00DA27B7"/>
    <w:rsid w:val="00DF5E85"/>
    <w:rsid w:val="00EF62FD"/>
    <w:rsid w:val="00F418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State"/>
  <w:shapeDefaults>
    <o:shapedefaults v:ext="edit" spidmax="1026"/>
    <o:shapelayout v:ext="edit">
      <o:idmap v:ext="edit" data="1"/>
    </o:shapelayout>
  </w:shapeDefaults>
  <w:decimalSymbol w:val="."/>
  <w:listSeparator w:val=","/>
  <w14:docId w14:val="75A165DD"/>
  <w15:chartTrackingRefBased/>
  <w15:docId w15:val="{A546638B-E8DC-4AD9-AB29-31579622BB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center"/>
      <w:outlineLvl w:val="0"/>
    </w:pPr>
    <w:rPr>
      <w:b/>
      <w:bCs/>
      <w:sz w:val="28"/>
      <w:lang w:val="en-US"/>
    </w:rPr>
  </w:style>
  <w:style w:type="paragraph" w:styleId="Heading2">
    <w:name w:val="heading 2"/>
    <w:basedOn w:val="Normal"/>
    <w:next w:val="Normal"/>
    <w:qFormat/>
    <w:pPr>
      <w:keepNext/>
      <w:outlineLvl w:val="1"/>
    </w:pPr>
    <w:rPr>
      <w:u w:val="single"/>
    </w:rPr>
  </w:style>
  <w:style w:type="paragraph" w:styleId="Heading3">
    <w:name w:val="heading 3"/>
    <w:basedOn w:val="Normal"/>
    <w:next w:val="Normal"/>
    <w:qFormat/>
    <w:pPr>
      <w:keepNext/>
      <w:outlineLvl w:val="2"/>
    </w:pPr>
    <w:rPr>
      <w:i/>
      <w:iCs/>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qFormat/>
    <w:rPr>
      <w:b/>
      <w:bCs/>
    </w:rPr>
  </w:style>
  <w:style w:type="character" w:styleId="Hyperlink">
    <w:name w:val="Hyperlink"/>
    <w:rPr>
      <w:color w:val="000099"/>
      <w:u w:val="single"/>
    </w:rPr>
  </w:style>
  <w:style w:type="paragraph" w:styleId="BodyText">
    <w:name w:val="Body Text"/>
    <w:basedOn w:val="Normal"/>
    <w:rPr>
      <w:sz w:val="20"/>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paragraph" w:styleId="BalloonText">
    <w:name w:val="Balloon Text"/>
    <w:basedOn w:val="Normal"/>
    <w:semiHidden/>
    <w:rsid w:val="0061093D"/>
    <w:rPr>
      <w:rFonts w:ascii="Tahoma" w:hAnsi="Tahoma" w:cs="Tahoma"/>
      <w:sz w:val="16"/>
      <w:szCs w:val="16"/>
    </w:rPr>
  </w:style>
  <w:style w:type="character" w:styleId="Emphasis">
    <w:name w:val="Emphasis"/>
    <w:uiPriority w:val="20"/>
    <w:qFormat/>
    <w:rsid w:val="006B7DC0"/>
    <w:rPr>
      <w:i/>
      <w:iCs/>
    </w:rPr>
  </w:style>
  <w:style w:type="character" w:styleId="FollowedHyperlink">
    <w:name w:val="FollowedHyperlink"/>
    <w:uiPriority w:val="99"/>
    <w:semiHidden/>
    <w:unhideWhenUsed/>
    <w:rsid w:val="007C462B"/>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92063029">
      <w:bodyDiv w:val="1"/>
      <w:marLeft w:val="0"/>
      <w:marRight w:val="0"/>
      <w:marTop w:val="0"/>
      <w:marBottom w:val="0"/>
      <w:divBdr>
        <w:top w:val="none" w:sz="0" w:space="0" w:color="auto"/>
        <w:left w:val="none" w:sz="0" w:space="0" w:color="auto"/>
        <w:bottom w:val="none" w:sz="0" w:space="0" w:color="auto"/>
        <w:right w:val="none" w:sz="0" w:space="0" w:color="auto"/>
      </w:divBdr>
      <w:divsChild>
        <w:div w:id="1090931154">
          <w:marLeft w:val="0"/>
          <w:marRight w:val="0"/>
          <w:marTop w:val="0"/>
          <w:marBottom w:val="0"/>
          <w:divBdr>
            <w:top w:val="none" w:sz="0" w:space="0" w:color="auto"/>
            <w:left w:val="none" w:sz="0" w:space="0" w:color="auto"/>
            <w:bottom w:val="none" w:sz="0" w:space="0" w:color="auto"/>
            <w:right w:val="none" w:sz="0" w:space="0" w:color="auto"/>
          </w:divBdr>
          <w:divsChild>
            <w:div w:id="1667518131">
              <w:marLeft w:val="0"/>
              <w:marRight w:val="0"/>
              <w:marTop w:val="0"/>
              <w:marBottom w:val="0"/>
              <w:divBdr>
                <w:top w:val="none" w:sz="0" w:space="0" w:color="auto"/>
                <w:left w:val="none" w:sz="0" w:space="0" w:color="auto"/>
                <w:bottom w:val="none" w:sz="0" w:space="0" w:color="auto"/>
                <w:right w:val="none" w:sz="0" w:space="0" w:color="auto"/>
              </w:divBdr>
              <w:divsChild>
                <w:div w:id="1320112490">
                  <w:marLeft w:val="0"/>
                  <w:marRight w:val="0"/>
                  <w:marTop w:val="0"/>
                  <w:marBottom w:val="0"/>
                  <w:divBdr>
                    <w:top w:val="none" w:sz="0" w:space="0" w:color="auto"/>
                    <w:left w:val="none" w:sz="0" w:space="0" w:color="auto"/>
                    <w:bottom w:val="none" w:sz="0" w:space="0" w:color="auto"/>
                    <w:right w:val="none" w:sz="0" w:space="0" w:color="auto"/>
                  </w:divBdr>
                  <w:divsChild>
                    <w:div w:id="2077629374">
                      <w:marLeft w:val="0"/>
                      <w:marRight w:val="0"/>
                      <w:marTop w:val="0"/>
                      <w:marBottom w:val="0"/>
                      <w:divBdr>
                        <w:top w:val="none" w:sz="0" w:space="0" w:color="auto"/>
                        <w:left w:val="none" w:sz="0" w:space="0" w:color="auto"/>
                        <w:bottom w:val="none" w:sz="0" w:space="0" w:color="auto"/>
                        <w:right w:val="none" w:sz="0" w:space="0" w:color="auto"/>
                      </w:divBdr>
                      <w:divsChild>
                        <w:div w:id="2079747353">
                          <w:marLeft w:val="0"/>
                          <w:marRight w:val="0"/>
                          <w:marTop w:val="0"/>
                          <w:marBottom w:val="0"/>
                          <w:divBdr>
                            <w:top w:val="none" w:sz="0" w:space="0" w:color="auto"/>
                            <w:left w:val="none" w:sz="0" w:space="0" w:color="auto"/>
                            <w:bottom w:val="none" w:sz="0" w:space="0" w:color="auto"/>
                            <w:right w:val="none" w:sz="0" w:space="0" w:color="auto"/>
                          </w:divBdr>
                          <w:divsChild>
                            <w:div w:id="374046282">
                              <w:marLeft w:val="0"/>
                              <w:marRight w:val="0"/>
                              <w:marTop w:val="0"/>
                              <w:marBottom w:val="0"/>
                              <w:divBdr>
                                <w:top w:val="none" w:sz="0" w:space="0" w:color="auto"/>
                                <w:left w:val="none" w:sz="0" w:space="0" w:color="auto"/>
                                <w:bottom w:val="none" w:sz="0" w:space="0" w:color="auto"/>
                                <w:right w:val="none" w:sz="0" w:space="0" w:color="auto"/>
                              </w:divBdr>
                              <w:divsChild>
                                <w:div w:id="2095587471">
                                  <w:marLeft w:val="1788"/>
                                  <w:marRight w:val="0"/>
                                  <w:marTop w:val="0"/>
                                  <w:marBottom w:val="0"/>
                                  <w:divBdr>
                                    <w:top w:val="none" w:sz="0" w:space="0" w:color="auto"/>
                                    <w:left w:val="none" w:sz="0" w:space="0" w:color="auto"/>
                                    <w:bottom w:val="none" w:sz="0" w:space="0" w:color="auto"/>
                                    <w:right w:val="none" w:sz="0" w:space="0" w:color="auto"/>
                                  </w:divBdr>
                                  <w:divsChild>
                                    <w:div w:id="988052655">
                                      <w:marLeft w:val="0"/>
                                      <w:marRight w:val="0"/>
                                      <w:marTop w:val="0"/>
                                      <w:marBottom w:val="0"/>
                                      <w:divBdr>
                                        <w:top w:val="none" w:sz="0" w:space="0" w:color="auto"/>
                                        <w:left w:val="none" w:sz="0" w:space="0" w:color="auto"/>
                                        <w:bottom w:val="none" w:sz="0" w:space="0" w:color="auto"/>
                                        <w:right w:val="none" w:sz="0" w:space="0" w:color="auto"/>
                                      </w:divBdr>
                                      <w:divsChild>
                                        <w:div w:id="1199389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108603">
      <w:bodyDiv w:val="1"/>
      <w:marLeft w:val="0"/>
      <w:marRight w:val="0"/>
      <w:marTop w:val="0"/>
      <w:marBottom w:val="0"/>
      <w:divBdr>
        <w:top w:val="none" w:sz="0" w:space="0" w:color="auto"/>
        <w:left w:val="none" w:sz="0" w:space="0" w:color="auto"/>
        <w:bottom w:val="none" w:sz="0" w:space="0" w:color="auto"/>
        <w:right w:val="none" w:sz="0" w:space="0" w:color="auto"/>
      </w:divBdr>
      <w:divsChild>
        <w:div w:id="1823504867">
          <w:marLeft w:val="0"/>
          <w:marRight w:val="0"/>
          <w:marTop w:val="0"/>
          <w:marBottom w:val="0"/>
          <w:divBdr>
            <w:top w:val="none" w:sz="0" w:space="0" w:color="auto"/>
            <w:left w:val="none" w:sz="0" w:space="0" w:color="auto"/>
            <w:bottom w:val="none" w:sz="0" w:space="0" w:color="auto"/>
            <w:right w:val="none" w:sz="0" w:space="0" w:color="auto"/>
          </w:divBdr>
          <w:divsChild>
            <w:div w:id="224148277">
              <w:marLeft w:val="0"/>
              <w:marRight w:val="0"/>
              <w:marTop w:val="0"/>
              <w:marBottom w:val="0"/>
              <w:divBdr>
                <w:top w:val="none" w:sz="0" w:space="0" w:color="auto"/>
                <w:left w:val="none" w:sz="0" w:space="0" w:color="auto"/>
                <w:bottom w:val="none" w:sz="0" w:space="0" w:color="auto"/>
                <w:right w:val="none" w:sz="0" w:space="0" w:color="auto"/>
              </w:divBdr>
              <w:divsChild>
                <w:div w:id="692535524">
                  <w:marLeft w:val="0"/>
                  <w:marRight w:val="0"/>
                  <w:marTop w:val="0"/>
                  <w:marBottom w:val="0"/>
                  <w:divBdr>
                    <w:top w:val="none" w:sz="0" w:space="0" w:color="auto"/>
                    <w:left w:val="none" w:sz="0" w:space="0" w:color="auto"/>
                    <w:bottom w:val="none" w:sz="0" w:space="0" w:color="auto"/>
                    <w:right w:val="none" w:sz="0" w:space="0" w:color="auto"/>
                  </w:divBdr>
                  <w:divsChild>
                    <w:div w:id="473061393">
                      <w:marLeft w:val="0"/>
                      <w:marRight w:val="0"/>
                      <w:marTop w:val="0"/>
                      <w:marBottom w:val="0"/>
                      <w:divBdr>
                        <w:top w:val="none" w:sz="0" w:space="0" w:color="auto"/>
                        <w:left w:val="none" w:sz="0" w:space="0" w:color="auto"/>
                        <w:bottom w:val="none" w:sz="0" w:space="0" w:color="auto"/>
                        <w:right w:val="none" w:sz="0" w:space="0" w:color="auto"/>
                      </w:divBdr>
                      <w:divsChild>
                        <w:div w:id="409273495">
                          <w:marLeft w:val="0"/>
                          <w:marRight w:val="0"/>
                          <w:marTop w:val="0"/>
                          <w:marBottom w:val="0"/>
                          <w:divBdr>
                            <w:top w:val="none" w:sz="0" w:space="0" w:color="auto"/>
                            <w:left w:val="none" w:sz="0" w:space="0" w:color="auto"/>
                            <w:bottom w:val="none" w:sz="0" w:space="0" w:color="auto"/>
                            <w:right w:val="none" w:sz="0" w:space="0" w:color="auto"/>
                          </w:divBdr>
                          <w:divsChild>
                            <w:div w:id="461273047">
                              <w:marLeft w:val="0"/>
                              <w:marRight w:val="0"/>
                              <w:marTop w:val="0"/>
                              <w:marBottom w:val="0"/>
                              <w:divBdr>
                                <w:top w:val="none" w:sz="0" w:space="0" w:color="auto"/>
                                <w:left w:val="none" w:sz="0" w:space="0" w:color="auto"/>
                                <w:bottom w:val="none" w:sz="0" w:space="0" w:color="auto"/>
                                <w:right w:val="none" w:sz="0" w:space="0" w:color="auto"/>
                              </w:divBdr>
                              <w:divsChild>
                                <w:div w:id="1770152948">
                                  <w:marLeft w:val="1788"/>
                                  <w:marRight w:val="0"/>
                                  <w:marTop w:val="0"/>
                                  <w:marBottom w:val="0"/>
                                  <w:divBdr>
                                    <w:top w:val="none" w:sz="0" w:space="0" w:color="auto"/>
                                    <w:left w:val="none" w:sz="0" w:space="0" w:color="auto"/>
                                    <w:bottom w:val="none" w:sz="0" w:space="0" w:color="auto"/>
                                    <w:right w:val="none" w:sz="0" w:space="0" w:color="auto"/>
                                  </w:divBdr>
                                  <w:divsChild>
                                    <w:div w:id="1004362417">
                                      <w:marLeft w:val="0"/>
                                      <w:marRight w:val="0"/>
                                      <w:marTop w:val="0"/>
                                      <w:marBottom w:val="0"/>
                                      <w:divBdr>
                                        <w:top w:val="none" w:sz="0" w:space="0" w:color="auto"/>
                                        <w:left w:val="none" w:sz="0" w:space="0" w:color="auto"/>
                                        <w:bottom w:val="none" w:sz="0" w:space="0" w:color="auto"/>
                                        <w:right w:val="none" w:sz="0" w:space="0" w:color="auto"/>
                                      </w:divBdr>
                                      <w:divsChild>
                                        <w:div w:id="166385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0543089">
      <w:bodyDiv w:val="1"/>
      <w:marLeft w:val="0"/>
      <w:marRight w:val="0"/>
      <w:marTop w:val="0"/>
      <w:marBottom w:val="0"/>
      <w:divBdr>
        <w:top w:val="none" w:sz="0" w:space="0" w:color="auto"/>
        <w:left w:val="none" w:sz="0" w:space="0" w:color="auto"/>
        <w:bottom w:val="none" w:sz="0" w:space="0" w:color="auto"/>
        <w:right w:val="none" w:sz="0" w:space="0" w:color="auto"/>
      </w:divBdr>
      <w:divsChild>
        <w:div w:id="1087339805">
          <w:marLeft w:val="0"/>
          <w:marRight w:val="0"/>
          <w:marTop w:val="100"/>
          <w:marBottom w:val="100"/>
          <w:divBdr>
            <w:top w:val="none" w:sz="0" w:space="0" w:color="auto"/>
            <w:left w:val="none" w:sz="0" w:space="0" w:color="auto"/>
            <w:bottom w:val="none" w:sz="0" w:space="0" w:color="auto"/>
            <w:right w:val="none" w:sz="0" w:space="0" w:color="auto"/>
          </w:divBdr>
          <w:divsChild>
            <w:div w:id="48649607">
              <w:marLeft w:val="0"/>
              <w:marRight w:val="0"/>
              <w:marTop w:val="0"/>
              <w:marBottom w:val="0"/>
              <w:divBdr>
                <w:top w:val="none" w:sz="0" w:space="0" w:color="auto"/>
                <w:left w:val="none" w:sz="0" w:space="0" w:color="auto"/>
                <w:bottom w:val="none" w:sz="0" w:space="0" w:color="auto"/>
                <w:right w:val="none" w:sz="0" w:space="0" w:color="auto"/>
              </w:divBdr>
              <w:divsChild>
                <w:div w:id="827939866">
                  <w:marLeft w:val="188"/>
                  <w:marRight w:val="188"/>
                  <w:marTop w:val="0"/>
                  <w:marBottom w:val="188"/>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870</Words>
  <Characters>4959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‘Germany in the Age of the Reformation’</vt:lpstr>
    </vt:vector>
  </TitlesOfParts>
  <Company>University of Warwick</Company>
  <LinksUpToDate>false</LinksUpToDate>
  <CharactersWithSpaces>5818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‘Germany in the Age of the Reformation’</dc:title>
  <dc:subject/>
  <dc:creator>hyscd</dc:creator>
  <cp:keywords/>
  <cp:lastModifiedBy>Kümin, Beat</cp:lastModifiedBy>
  <cp:revision>5</cp:revision>
  <cp:lastPrinted>2014-01-27T09:37:00Z</cp:lastPrinted>
  <dcterms:created xsi:type="dcterms:W3CDTF">2025-03-03T09:56:00Z</dcterms:created>
  <dcterms:modified xsi:type="dcterms:W3CDTF">2025-03-03T09:58:00Z</dcterms:modified>
</cp:coreProperties>
</file>