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7" w:rsidRPr="00261E91" w:rsidRDefault="00B83ACD" w:rsidP="00261E91">
      <w:pPr>
        <w:spacing w:after="0"/>
        <w:ind w:right="-1017"/>
        <w:jc w:val="both"/>
        <w:rPr>
          <w:rFonts w:ascii="Arial" w:hAnsi="Arial" w:cs="Arial"/>
          <w:u w:val="single"/>
        </w:rPr>
      </w:pPr>
      <w:r w:rsidRPr="00261E91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4391FAC" wp14:editId="4E81068A">
            <wp:simplePos x="0" y="0"/>
            <wp:positionH relativeFrom="column">
              <wp:posOffset>4221480</wp:posOffset>
            </wp:positionH>
            <wp:positionV relativeFrom="paragraph">
              <wp:posOffset>59055</wp:posOffset>
            </wp:positionV>
            <wp:extent cx="2143125" cy="1574800"/>
            <wp:effectExtent l="0" t="0" r="9525" b="6350"/>
            <wp:wrapTight wrapText="bothSides">
              <wp:wrapPolygon edited="0">
                <wp:start x="0" y="0"/>
                <wp:lineTo x="0" y="21426"/>
                <wp:lineTo x="21504" y="21426"/>
                <wp:lineTo x="21504" y="0"/>
                <wp:lineTo x="0" y="0"/>
              </wp:wrapPolygon>
            </wp:wrapTight>
            <wp:docPr id="1026" name="Picture 2" descr="http://interacc.typepad.com/.a/6a01053596fb28970c014e86df5fea970d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nteracc.typepad.com/.a/6a01053596fb28970c014e86df5fea970d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B7" w:rsidRPr="00261E91">
        <w:rPr>
          <w:rFonts w:ascii="Arial" w:hAnsi="Arial" w:cs="Arial"/>
          <w:b/>
          <w:sz w:val="24"/>
          <w:szCs w:val="24"/>
          <w:u w:val="single"/>
        </w:rPr>
        <w:t xml:space="preserve">Lecture </w:t>
      </w:r>
      <w:r w:rsidRPr="00261E91">
        <w:rPr>
          <w:rFonts w:ascii="Arial" w:hAnsi="Arial" w:cs="Arial"/>
          <w:b/>
          <w:sz w:val="24"/>
          <w:szCs w:val="24"/>
          <w:u w:val="single"/>
        </w:rPr>
        <w:t>4</w:t>
      </w:r>
      <w:r w:rsidR="0080133C" w:rsidRPr="00261E91">
        <w:rPr>
          <w:rFonts w:ascii="Arial" w:hAnsi="Arial" w:cs="Arial"/>
          <w:b/>
          <w:sz w:val="24"/>
          <w:szCs w:val="24"/>
          <w:u w:val="single"/>
        </w:rPr>
        <w:t>:</w:t>
      </w:r>
      <w:r w:rsidR="00261E91">
        <w:rPr>
          <w:rFonts w:ascii="Arial" w:hAnsi="Arial" w:cs="Arial"/>
          <w:b/>
          <w:sz w:val="24"/>
          <w:szCs w:val="24"/>
          <w:u w:val="single"/>
        </w:rPr>
        <w:t xml:space="preserve"> Medicine at School</w:t>
      </w:r>
    </w:p>
    <w:p w:rsidR="00022CA6" w:rsidRDefault="00022CA6" w:rsidP="00022CA6">
      <w:pPr>
        <w:pStyle w:val="ListParagraph"/>
        <w:spacing w:after="0"/>
        <w:ind w:left="360" w:right="-1017"/>
        <w:jc w:val="both"/>
        <w:rPr>
          <w:rFonts w:ascii="Arial" w:hAnsi="Arial" w:cs="Arial"/>
        </w:rPr>
      </w:pPr>
    </w:p>
    <w:p w:rsidR="00022CA6" w:rsidRPr="00261E91" w:rsidRDefault="00022CA6" w:rsidP="00022CA6">
      <w:pPr>
        <w:pStyle w:val="ListParagraph"/>
        <w:spacing w:after="0"/>
        <w:ind w:left="142" w:right="-1017"/>
        <w:jc w:val="both"/>
        <w:rPr>
          <w:rFonts w:ascii="Arial" w:hAnsi="Arial" w:cs="Arial"/>
          <w:u w:val="single"/>
        </w:rPr>
      </w:pPr>
      <w:r w:rsidRPr="00261E91">
        <w:rPr>
          <w:rFonts w:ascii="Arial" w:hAnsi="Arial" w:cs="Arial"/>
          <w:u w:val="single"/>
        </w:rPr>
        <w:t>Historiographical Perspectives</w:t>
      </w:r>
    </w:p>
    <w:p w:rsidR="00022CA6" w:rsidRDefault="00022CA6" w:rsidP="00022CA6">
      <w:pPr>
        <w:pStyle w:val="ListParagraph"/>
        <w:numPr>
          <w:ilvl w:val="0"/>
          <w:numId w:val="23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Traditional histories have usually focused on legislative change as a sign of ‘</w:t>
      </w:r>
      <w:proofErr w:type="gramStart"/>
      <w:r>
        <w:rPr>
          <w:rFonts w:ascii="Arial" w:hAnsi="Arial" w:cs="Arial"/>
        </w:rPr>
        <w:t>progress’</w:t>
      </w:r>
      <w:proofErr w:type="gramEnd"/>
      <w:r>
        <w:rPr>
          <w:rFonts w:ascii="Arial" w:hAnsi="Arial" w:cs="Arial"/>
        </w:rPr>
        <w:t>.</w:t>
      </w:r>
    </w:p>
    <w:p w:rsidR="00022CA6" w:rsidRDefault="00022CA6" w:rsidP="00022CA6">
      <w:pPr>
        <w:pStyle w:val="ListParagraph"/>
        <w:numPr>
          <w:ilvl w:val="0"/>
          <w:numId w:val="23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Recent scholarship – more complex understanding. Recognition that the process involved increasing adult control over children’s bodies (David Armstrong &amp; Bryan Turner).</w:t>
      </w:r>
    </w:p>
    <w:p w:rsidR="00022CA6" w:rsidRDefault="00022CA6" w:rsidP="00022CA6">
      <w:pPr>
        <w:spacing w:after="0"/>
        <w:ind w:right="-1017"/>
        <w:jc w:val="both"/>
        <w:rPr>
          <w:rFonts w:ascii="Arial" w:hAnsi="Arial" w:cs="Arial"/>
        </w:rPr>
      </w:pPr>
    </w:p>
    <w:p w:rsidR="00022CA6" w:rsidRDefault="00261E91" w:rsidP="00022CA6">
      <w:pPr>
        <w:spacing w:after="0"/>
        <w:ind w:right="-1017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19</w:t>
      </w:r>
      <w:r w:rsidRPr="00261E91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 Century</w:t>
      </w:r>
      <w:proofErr w:type="gramEnd"/>
      <w:r>
        <w:rPr>
          <w:rFonts w:ascii="Arial" w:hAnsi="Arial" w:cs="Arial"/>
          <w:u w:val="single"/>
        </w:rPr>
        <w:t xml:space="preserve"> </w:t>
      </w:r>
      <w:r w:rsidR="00022CA6" w:rsidRPr="00022CA6">
        <w:rPr>
          <w:rFonts w:ascii="Arial" w:hAnsi="Arial" w:cs="Arial"/>
          <w:u w:val="single"/>
        </w:rPr>
        <w:t>Legislative Reforms</w:t>
      </w:r>
      <w:r w:rsidR="00A1106D">
        <w:rPr>
          <w:rFonts w:ascii="Arial" w:hAnsi="Arial" w:cs="Arial"/>
          <w:u w:val="single"/>
        </w:rPr>
        <w:t xml:space="preserve"> (Education)</w:t>
      </w:r>
    </w:p>
    <w:p w:rsidR="00A1106D" w:rsidRPr="001C13D2" w:rsidRDefault="00022CA6" w:rsidP="001C13D2">
      <w:pPr>
        <w:pStyle w:val="ListParagraph"/>
        <w:numPr>
          <w:ilvl w:val="0"/>
          <w:numId w:val="24"/>
        </w:numPr>
        <w:spacing w:after="0"/>
        <w:ind w:right="-101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Education Act 1870</w:t>
      </w:r>
      <w:r w:rsidR="001C13D2">
        <w:rPr>
          <w:rFonts w:ascii="Arial" w:hAnsi="Arial" w:cs="Arial"/>
        </w:rPr>
        <w:t xml:space="preserve">; </w:t>
      </w:r>
      <w:r w:rsidR="00A1106D" w:rsidRPr="001C13D2">
        <w:rPr>
          <w:rFonts w:ascii="Arial" w:hAnsi="Arial" w:cs="Arial"/>
        </w:rPr>
        <w:t>Elementary Education (Blind and Deaf Children) 1893</w:t>
      </w:r>
      <w:r w:rsidR="001C13D2">
        <w:rPr>
          <w:rFonts w:ascii="Arial" w:hAnsi="Arial" w:cs="Arial"/>
        </w:rPr>
        <w:t xml:space="preserve">; </w:t>
      </w:r>
      <w:r w:rsidR="00A1106D" w:rsidRPr="001C13D2">
        <w:rPr>
          <w:rFonts w:ascii="Arial" w:hAnsi="Arial" w:cs="Arial"/>
        </w:rPr>
        <w:t>Elementary Education (Defective and Epileptic Children) 1899</w:t>
      </w:r>
      <w:r w:rsidR="00447BF5">
        <w:rPr>
          <w:rFonts w:ascii="Arial" w:hAnsi="Arial" w:cs="Arial"/>
        </w:rPr>
        <w:t>.</w:t>
      </w:r>
    </w:p>
    <w:p w:rsidR="00A1106D" w:rsidRDefault="00A1106D" w:rsidP="00A1106D">
      <w:pPr>
        <w:spacing w:after="0"/>
        <w:ind w:right="-101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Legislative Reforms (Liberal Reforms 1906-1914)</w:t>
      </w:r>
    </w:p>
    <w:p w:rsidR="00A1106D" w:rsidRDefault="00A1106D" w:rsidP="00A1106D">
      <w:pPr>
        <w:pStyle w:val="ListParagraph"/>
        <w:numPr>
          <w:ilvl w:val="0"/>
          <w:numId w:val="25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Shift from laissez-faire system</w:t>
      </w:r>
      <w:r w:rsidR="001C13D2">
        <w:rPr>
          <w:rFonts w:ascii="Arial" w:hAnsi="Arial" w:cs="Arial"/>
        </w:rPr>
        <w:t xml:space="preserve"> to more collectivist approach - </w:t>
      </w:r>
      <w:r>
        <w:rPr>
          <w:rFonts w:ascii="Arial" w:hAnsi="Arial" w:cs="Arial"/>
        </w:rPr>
        <w:t xml:space="preserve">traditionally identified as the birth </w:t>
      </w:r>
      <w:r w:rsidR="001C13D2">
        <w:rPr>
          <w:rFonts w:ascii="Arial" w:hAnsi="Arial" w:cs="Arial"/>
        </w:rPr>
        <w:t>of the British welfare state</w:t>
      </w:r>
      <w:r>
        <w:rPr>
          <w:rFonts w:ascii="Arial" w:hAnsi="Arial" w:cs="Arial"/>
        </w:rPr>
        <w:t>.</w:t>
      </w:r>
    </w:p>
    <w:p w:rsidR="00A1106D" w:rsidRDefault="00A1106D" w:rsidP="00A1106D">
      <w:pPr>
        <w:pStyle w:val="ListParagraph"/>
        <w:numPr>
          <w:ilvl w:val="0"/>
          <w:numId w:val="25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Reasons for reforms – 1. Reports into poverty (</w:t>
      </w:r>
      <w:proofErr w:type="spellStart"/>
      <w:r>
        <w:rPr>
          <w:rFonts w:ascii="Arial" w:hAnsi="Arial" w:cs="Arial"/>
        </w:rPr>
        <w:t>Rowntreee</w:t>
      </w:r>
      <w:proofErr w:type="spellEnd"/>
      <w:r>
        <w:rPr>
          <w:rFonts w:ascii="Arial" w:hAnsi="Arial" w:cs="Arial"/>
        </w:rPr>
        <w:t xml:space="preserve"> &amp; Booth) 2. Boer War 3. Growing anxieties about Germany and their commitment to national efficiency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old age pensions) 4. Growth of the Labour Party 5. ‘New Liberalism’ (Asquith, Lloyd George and Churchill).</w:t>
      </w:r>
    </w:p>
    <w:p w:rsidR="00261E91" w:rsidRPr="00261E91" w:rsidRDefault="00261E91" w:rsidP="00261E91">
      <w:pPr>
        <w:pStyle w:val="ListParagraph"/>
        <w:spacing w:after="0"/>
        <w:ind w:left="0" w:right="-1017"/>
        <w:jc w:val="both"/>
        <w:rPr>
          <w:rFonts w:ascii="Arial" w:hAnsi="Arial" w:cs="Arial"/>
          <w:u w:val="single"/>
        </w:rPr>
      </w:pPr>
      <w:r w:rsidRPr="00261E91">
        <w:rPr>
          <w:rFonts w:ascii="Arial" w:hAnsi="Arial" w:cs="Arial"/>
          <w:u w:val="single"/>
        </w:rPr>
        <w:t>Legislative Reforms (Children and Reform)</w:t>
      </w:r>
    </w:p>
    <w:p w:rsidR="00A1106D" w:rsidRDefault="00A1106D" w:rsidP="00A1106D">
      <w:pPr>
        <w:pStyle w:val="ListParagraph"/>
        <w:numPr>
          <w:ilvl w:val="0"/>
          <w:numId w:val="25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1906 Education (Provisions of Meals) Act</w:t>
      </w:r>
    </w:p>
    <w:p w:rsidR="00A1106D" w:rsidRDefault="00A1106D" w:rsidP="00A1106D">
      <w:pPr>
        <w:pStyle w:val="ListParagraph"/>
        <w:numPr>
          <w:ilvl w:val="0"/>
          <w:numId w:val="25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1907 Notification of Births Act </w:t>
      </w:r>
    </w:p>
    <w:p w:rsidR="00A1106D" w:rsidRDefault="00A1106D" w:rsidP="00A1106D">
      <w:pPr>
        <w:pStyle w:val="ListParagraph"/>
        <w:numPr>
          <w:ilvl w:val="0"/>
          <w:numId w:val="25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1907 Education (Administrative Provisions) Act – allowed school boards to inspect the health of children in schools. </w:t>
      </w:r>
    </w:p>
    <w:p w:rsidR="00A1106D" w:rsidRPr="00447BF5" w:rsidRDefault="00A1106D" w:rsidP="00447BF5">
      <w:pPr>
        <w:pStyle w:val="ListParagraph"/>
        <w:numPr>
          <w:ilvl w:val="0"/>
          <w:numId w:val="25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1909 Children’s Act </w:t>
      </w:r>
      <w:r w:rsidR="00261E9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61E91">
        <w:rPr>
          <w:rFonts w:ascii="Arial" w:hAnsi="Arial" w:cs="Arial"/>
        </w:rPr>
        <w:t xml:space="preserve">restrictions </w:t>
      </w:r>
      <w:r w:rsidR="00447BF5">
        <w:rPr>
          <w:rFonts w:ascii="Arial" w:hAnsi="Arial" w:cs="Arial"/>
        </w:rPr>
        <w:t xml:space="preserve">on child begging and the </w:t>
      </w:r>
      <w:r w:rsidR="00261E91">
        <w:rPr>
          <w:rFonts w:ascii="Arial" w:hAnsi="Arial" w:cs="Arial"/>
        </w:rPr>
        <w:t>sale of tobacco and alcohol</w:t>
      </w:r>
      <w:r w:rsidR="00447BF5">
        <w:rPr>
          <w:rFonts w:ascii="Arial" w:hAnsi="Arial" w:cs="Arial"/>
        </w:rPr>
        <w:t xml:space="preserve"> to minors. F</w:t>
      </w:r>
      <w:r w:rsidR="00261E91" w:rsidRPr="00447BF5">
        <w:rPr>
          <w:rFonts w:ascii="Arial" w:hAnsi="Arial" w:cs="Arial"/>
        </w:rPr>
        <w:t xml:space="preserve">ormation </w:t>
      </w:r>
      <w:r w:rsidR="00447BF5" w:rsidRPr="00447BF5">
        <w:rPr>
          <w:rFonts w:ascii="Arial" w:hAnsi="Arial" w:cs="Arial"/>
        </w:rPr>
        <w:t>of the</w:t>
      </w:r>
      <w:r w:rsidR="00261E91" w:rsidRPr="00447BF5">
        <w:rPr>
          <w:rFonts w:ascii="Arial" w:hAnsi="Arial" w:cs="Arial"/>
        </w:rPr>
        <w:t xml:space="preserve"> juvenile justice system.</w:t>
      </w:r>
    </w:p>
    <w:p w:rsidR="00A1106D" w:rsidRDefault="00A1106D" w:rsidP="00261E91">
      <w:pPr>
        <w:pStyle w:val="ListParagraph"/>
        <w:spacing w:after="0"/>
        <w:ind w:right="-1017"/>
        <w:jc w:val="both"/>
        <w:rPr>
          <w:rFonts w:ascii="Arial" w:hAnsi="Arial" w:cs="Arial"/>
        </w:rPr>
      </w:pPr>
    </w:p>
    <w:p w:rsidR="00261E91" w:rsidRPr="00261E91" w:rsidRDefault="00261E91" w:rsidP="00261E91">
      <w:pPr>
        <w:pStyle w:val="ListParagraph"/>
        <w:spacing w:after="0"/>
        <w:ind w:left="0" w:right="-101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Free School Meals</w:t>
      </w:r>
      <w:r w:rsidR="001C13D2">
        <w:rPr>
          <w:rFonts w:ascii="Arial" w:hAnsi="Arial" w:cs="Arial"/>
          <w:u w:val="single"/>
        </w:rPr>
        <w:t>/Milk</w:t>
      </w:r>
    </w:p>
    <w:p w:rsidR="00A1106D" w:rsidRPr="00261E91" w:rsidRDefault="00261E91" w:rsidP="00261E91">
      <w:pPr>
        <w:pStyle w:val="ListParagraph"/>
        <w:numPr>
          <w:ilvl w:val="0"/>
          <w:numId w:val="26"/>
        </w:numPr>
        <w:spacing w:after="0"/>
        <w:ind w:right="-101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From the 1870s school/voluntary provisions established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‘Penny Dinners’).</w:t>
      </w:r>
    </w:p>
    <w:p w:rsidR="00261E91" w:rsidRDefault="00261E91" w:rsidP="00261E91">
      <w:pPr>
        <w:pStyle w:val="ListParagraph"/>
        <w:numPr>
          <w:ilvl w:val="0"/>
          <w:numId w:val="26"/>
        </w:numPr>
        <w:spacing w:after="0"/>
        <w:ind w:right="-1017"/>
        <w:jc w:val="both"/>
        <w:rPr>
          <w:rFonts w:ascii="Arial" w:hAnsi="Arial" w:cs="Arial"/>
        </w:rPr>
      </w:pPr>
      <w:r w:rsidRPr="00261E91">
        <w:rPr>
          <w:rFonts w:ascii="Arial" w:hAnsi="Arial" w:cs="Arial"/>
        </w:rPr>
        <w:t xml:space="preserve">1906 free school meals act </w:t>
      </w:r>
      <w:r>
        <w:rPr>
          <w:rFonts w:ascii="Arial" w:hAnsi="Arial" w:cs="Arial"/>
        </w:rPr>
        <w:t>–</w:t>
      </w:r>
      <w:r w:rsidRPr="00261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initial</w:t>
      </w:r>
      <w:r w:rsidR="00447BF5">
        <w:rPr>
          <w:rFonts w:ascii="Arial" w:hAnsi="Arial" w:cs="Arial"/>
        </w:rPr>
        <w:t xml:space="preserve">ly </w:t>
      </w:r>
      <w:r>
        <w:rPr>
          <w:rFonts w:ascii="Arial" w:hAnsi="Arial" w:cs="Arial"/>
        </w:rPr>
        <w:t xml:space="preserve">not compulsory and many local </w:t>
      </w:r>
      <w:proofErr w:type="gramStart"/>
      <w:r>
        <w:rPr>
          <w:rFonts w:ascii="Arial" w:hAnsi="Arial" w:cs="Arial"/>
        </w:rPr>
        <w:t>councils</w:t>
      </w:r>
      <w:proofErr w:type="gramEnd"/>
      <w:r>
        <w:rPr>
          <w:rFonts w:ascii="Arial" w:hAnsi="Arial" w:cs="Arial"/>
        </w:rPr>
        <w:t xml:space="preserve"> ignored it. In 1914 was made compulsory. Continued </w:t>
      </w:r>
      <w:r w:rsidR="00447BF5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national variation in provision.</w:t>
      </w:r>
    </w:p>
    <w:p w:rsidR="00261E91" w:rsidRPr="001C13D2" w:rsidRDefault="00261E91" w:rsidP="001C13D2">
      <w:pPr>
        <w:pStyle w:val="ListParagraph"/>
        <w:numPr>
          <w:ilvl w:val="0"/>
          <w:numId w:val="26"/>
        </w:numPr>
        <w:spacing w:after="0"/>
        <w:ind w:right="-1017"/>
        <w:jc w:val="both"/>
        <w:rPr>
          <w:rFonts w:ascii="Arial" w:hAnsi="Arial" w:cs="Arial"/>
        </w:rPr>
      </w:pPr>
      <w:r w:rsidRPr="001C13D2">
        <w:rPr>
          <w:rFonts w:ascii="Arial" w:hAnsi="Arial" w:cs="Arial"/>
        </w:rPr>
        <w:t>Free School Milk</w:t>
      </w:r>
      <w:r w:rsidR="001C13D2">
        <w:rPr>
          <w:rFonts w:ascii="Arial" w:hAnsi="Arial" w:cs="Arial"/>
        </w:rPr>
        <w:t xml:space="preserve"> i</w:t>
      </w:r>
      <w:r w:rsidRPr="001C13D2">
        <w:rPr>
          <w:rFonts w:ascii="Arial" w:hAnsi="Arial" w:cs="Arial"/>
        </w:rPr>
        <w:t>ntroduced in 1934 to give children extra nutrition in addition to school meals.</w:t>
      </w:r>
    </w:p>
    <w:p w:rsidR="001C13D2" w:rsidRPr="001C13D2" w:rsidRDefault="001C13D2" w:rsidP="001C13D2">
      <w:pPr>
        <w:pStyle w:val="ListParagraph"/>
        <w:spacing w:after="0"/>
        <w:ind w:left="0" w:right="-1017"/>
        <w:jc w:val="both"/>
        <w:rPr>
          <w:rFonts w:ascii="Arial" w:hAnsi="Arial" w:cs="Arial"/>
          <w:u w:val="single"/>
        </w:rPr>
      </w:pPr>
      <w:r w:rsidRPr="001C13D2">
        <w:rPr>
          <w:rFonts w:ascii="Arial" w:hAnsi="Arial" w:cs="Arial"/>
          <w:u w:val="single"/>
        </w:rPr>
        <w:t>Medical Inspection in Schools</w:t>
      </w:r>
    </w:p>
    <w:p w:rsidR="001C13D2" w:rsidRDefault="001C13D2" w:rsidP="001C13D2">
      <w:pPr>
        <w:pStyle w:val="ListParagraph"/>
        <w:numPr>
          <w:ilvl w:val="0"/>
          <w:numId w:val="28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Compulsory schooling made children’s health problems more visible – teachers and voluntary workers began to call for the provision of medical inspections in schools.</w:t>
      </w:r>
    </w:p>
    <w:p w:rsidR="001C13D2" w:rsidRDefault="001C13D2" w:rsidP="001C13D2">
      <w:pPr>
        <w:pStyle w:val="ListParagraph"/>
        <w:numPr>
          <w:ilvl w:val="0"/>
          <w:numId w:val="28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1907 legislation set up school medical inspections – some problems as many parents couldn’t afford treatment for their children.</w:t>
      </w:r>
      <w:r w:rsidR="00447BF5">
        <w:rPr>
          <w:rFonts w:ascii="Arial" w:hAnsi="Arial" w:cs="Arial"/>
        </w:rPr>
        <w:t xml:space="preserve"> 1912 onwards treatment (full or partial) was paid for by LEA’s.</w:t>
      </w:r>
    </w:p>
    <w:p w:rsidR="001C13D2" w:rsidRDefault="001C13D2" w:rsidP="001C13D2">
      <w:pPr>
        <w:pStyle w:val="ListParagraph"/>
        <w:numPr>
          <w:ilvl w:val="0"/>
          <w:numId w:val="28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1920s/30s – services expanded and school clinics established.</w:t>
      </w:r>
    </w:p>
    <w:p w:rsidR="001C13D2" w:rsidRDefault="001C13D2" w:rsidP="001C13D2">
      <w:pPr>
        <w:pStyle w:val="ListParagraph"/>
        <w:numPr>
          <w:ilvl w:val="0"/>
          <w:numId w:val="28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7BF5">
        <w:rPr>
          <w:rFonts w:ascii="Arial" w:hAnsi="Arial" w:cs="Arial"/>
        </w:rPr>
        <w:t>Health b</w:t>
      </w:r>
      <w:r>
        <w:rPr>
          <w:rFonts w:ascii="Arial" w:hAnsi="Arial" w:cs="Arial"/>
        </w:rPr>
        <w:t xml:space="preserve">enefits for </w:t>
      </w:r>
      <w:r w:rsidR="00447BF5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working class and middle class children.</w:t>
      </w:r>
    </w:p>
    <w:p w:rsidR="001C13D2" w:rsidRPr="001C13D2" w:rsidRDefault="001C13D2" w:rsidP="001C13D2">
      <w:pPr>
        <w:spacing w:after="0"/>
        <w:ind w:right="-1017"/>
        <w:jc w:val="both"/>
        <w:rPr>
          <w:rFonts w:ascii="Arial" w:hAnsi="Arial" w:cs="Arial"/>
          <w:u w:val="single"/>
        </w:rPr>
      </w:pPr>
      <w:r w:rsidRPr="001C13D2">
        <w:rPr>
          <w:rFonts w:ascii="Arial" w:hAnsi="Arial" w:cs="Arial"/>
          <w:u w:val="single"/>
        </w:rPr>
        <w:t>School as a site of health</w:t>
      </w:r>
    </w:p>
    <w:p w:rsidR="001C13D2" w:rsidRDefault="001C13D2" w:rsidP="001C13D2">
      <w:pPr>
        <w:pStyle w:val="ListParagraph"/>
        <w:numPr>
          <w:ilvl w:val="0"/>
          <w:numId w:val="29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Sport – encouraged for boys (especially) and girls from late 19</w:t>
      </w:r>
      <w:r w:rsidRPr="001C13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 onwards. Rugby, tennis, football, cricket, gymnastics, drill, dancing and games.</w:t>
      </w:r>
    </w:p>
    <w:p w:rsidR="001C13D2" w:rsidRDefault="001C13D2" w:rsidP="001C13D2">
      <w:pPr>
        <w:pStyle w:val="ListParagraph"/>
        <w:numPr>
          <w:ilvl w:val="0"/>
          <w:numId w:val="29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Domestic Science – sewing, cooking, budgeting, cleaning and washing. Teaching women to be good future wives and mothers.</w:t>
      </w:r>
    </w:p>
    <w:p w:rsidR="001C13D2" w:rsidRPr="001C13D2" w:rsidRDefault="001C13D2" w:rsidP="001C13D2">
      <w:pPr>
        <w:pStyle w:val="ListParagraph"/>
        <w:numPr>
          <w:ilvl w:val="0"/>
          <w:numId w:val="29"/>
        </w:numPr>
        <w:spacing w:after="0"/>
        <w:ind w:right="-1017"/>
        <w:jc w:val="both"/>
        <w:rPr>
          <w:rFonts w:ascii="Arial" w:hAnsi="Arial" w:cs="Arial"/>
        </w:rPr>
      </w:pPr>
      <w:r>
        <w:rPr>
          <w:rFonts w:ascii="Arial" w:hAnsi="Arial" w:cs="Arial"/>
        </w:rPr>
        <w:t>Sex Education – started after the 1940s. Often lacking in the information it provided.</w:t>
      </w:r>
      <w:r w:rsidR="00447BF5">
        <w:rPr>
          <w:rFonts w:ascii="Arial" w:hAnsi="Arial" w:cs="Arial"/>
        </w:rPr>
        <w:t xml:space="preserve"> Improved over the course of the century.</w:t>
      </w:r>
      <w:bookmarkStart w:id="0" w:name="_GoBack"/>
      <w:bookmarkEnd w:id="0"/>
    </w:p>
    <w:sectPr w:rsidR="001C13D2" w:rsidRPr="001C13D2" w:rsidSect="002A142F">
      <w:headerReference w:type="default" r:id="rId10"/>
      <w:footerReference w:type="default" r:id="rId11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CE" w:rsidRDefault="005004CE" w:rsidP="003D1B8C">
      <w:pPr>
        <w:spacing w:after="0" w:line="240" w:lineRule="auto"/>
      </w:pPr>
      <w:r>
        <w:separator/>
      </w:r>
    </w:p>
  </w:endnote>
  <w:endnote w:type="continuationSeparator" w:id="0">
    <w:p w:rsidR="005004CE" w:rsidRDefault="005004CE" w:rsidP="003D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80" w:rsidRDefault="00447BF5">
    <w:pPr>
      <w:pStyle w:val="Footer"/>
    </w:pPr>
    <w:proofErr w:type="spellStart"/>
    <w:r>
      <w:t>K.Woods</w:t>
    </w:r>
    <w:proofErr w:type="spellEnd"/>
    <w:r>
      <w:t xml:space="preserve"> 26</w:t>
    </w:r>
    <w:r w:rsidR="003C0C80">
      <w:t>.9.2015</w:t>
    </w:r>
  </w:p>
  <w:p w:rsidR="003C0C80" w:rsidRDefault="003C0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CE" w:rsidRDefault="005004CE" w:rsidP="003D1B8C">
      <w:pPr>
        <w:spacing w:after="0" w:line="240" w:lineRule="auto"/>
      </w:pPr>
      <w:r>
        <w:separator/>
      </w:r>
    </w:p>
  </w:footnote>
  <w:footnote w:type="continuationSeparator" w:id="0">
    <w:p w:rsidR="005004CE" w:rsidRDefault="005004CE" w:rsidP="003D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8C" w:rsidRPr="00186BD1" w:rsidRDefault="003D1B8C" w:rsidP="0080133C">
    <w:pPr>
      <w:pStyle w:val="Header"/>
      <w:jc w:val="center"/>
      <w:rPr>
        <w:b/>
        <w:sz w:val="24"/>
        <w:szCs w:val="24"/>
      </w:rPr>
    </w:pPr>
    <w:r w:rsidRPr="00186BD1">
      <w:rPr>
        <w:b/>
        <w:sz w:val="24"/>
        <w:szCs w:val="24"/>
      </w:rPr>
      <w:t>From Cradle to Grave</w:t>
    </w:r>
    <w:r w:rsidR="00186BD1">
      <w:rPr>
        <w:b/>
        <w:sz w:val="24"/>
        <w:szCs w:val="24"/>
      </w:rPr>
      <w:t>: Health, Medicine and Lifecycle in Modern Britain (HI278)</w:t>
    </w:r>
  </w:p>
  <w:p w:rsidR="003D1B8C" w:rsidRDefault="003D1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85F"/>
    <w:multiLevelType w:val="hybridMultilevel"/>
    <w:tmpl w:val="D640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085"/>
    <w:multiLevelType w:val="hybridMultilevel"/>
    <w:tmpl w:val="1C88FD8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B3C263A"/>
    <w:multiLevelType w:val="hybridMultilevel"/>
    <w:tmpl w:val="624A1C7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397D22"/>
    <w:multiLevelType w:val="hybridMultilevel"/>
    <w:tmpl w:val="A6D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E18"/>
    <w:multiLevelType w:val="hybridMultilevel"/>
    <w:tmpl w:val="2CAE8E76"/>
    <w:lvl w:ilvl="0" w:tplc="9C3AEC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0C345BF"/>
    <w:multiLevelType w:val="hybridMultilevel"/>
    <w:tmpl w:val="F096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3F47"/>
    <w:multiLevelType w:val="hybridMultilevel"/>
    <w:tmpl w:val="9392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2155"/>
    <w:multiLevelType w:val="hybridMultilevel"/>
    <w:tmpl w:val="EBEA3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13B90"/>
    <w:multiLevelType w:val="hybridMultilevel"/>
    <w:tmpl w:val="9F92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A3670"/>
    <w:multiLevelType w:val="hybridMultilevel"/>
    <w:tmpl w:val="2AE0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114B5"/>
    <w:multiLevelType w:val="hybridMultilevel"/>
    <w:tmpl w:val="12742ECA"/>
    <w:lvl w:ilvl="0" w:tplc="9C3AEC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5415D7E"/>
    <w:multiLevelType w:val="hybridMultilevel"/>
    <w:tmpl w:val="EB141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AA121DF8">
      <w:start w:val="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110DF0"/>
    <w:multiLevelType w:val="hybridMultilevel"/>
    <w:tmpl w:val="D6669F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97076E7"/>
    <w:multiLevelType w:val="hybridMultilevel"/>
    <w:tmpl w:val="858A8ECE"/>
    <w:lvl w:ilvl="0" w:tplc="9C3AEC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026718F"/>
    <w:multiLevelType w:val="hybridMultilevel"/>
    <w:tmpl w:val="16E4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BD51B0"/>
    <w:multiLevelType w:val="hybridMultilevel"/>
    <w:tmpl w:val="44EE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01252"/>
    <w:multiLevelType w:val="hybridMultilevel"/>
    <w:tmpl w:val="299ED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745952"/>
    <w:multiLevelType w:val="hybridMultilevel"/>
    <w:tmpl w:val="D3A06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B7177"/>
    <w:multiLevelType w:val="hybridMultilevel"/>
    <w:tmpl w:val="876C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F0DAC"/>
    <w:multiLevelType w:val="hybridMultilevel"/>
    <w:tmpl w:val="84F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A4AFD"/>
    <w:multiLevelType w:val="hybridMultilevel"/>
    <w:tmpl w:val="2466A49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6E0918A6"/>
    <w:multiLevelType w:val="hybridMultilevel"/>
    <w:tmpl w:val="B69C27C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71B745A0"/>
    <w:multiLevelType w:val="hybridMultilevel"/>
    <w:tmpl w:val="C2803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23AA2"/>
    <w:multiLevelType w:val="hybridMultilevel"/>
    <w:tmpl w:val="20AC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D57DC"/>
    <w:multiLevelType w:val="hybridMultilevel"/>
    <w:tmpl w:val="187CAA00"/>
    <w:lvl w:ilvl="0" w:tplc="9C3AEC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78440FDF"/>
    <w:multiLevelType w:val="hybridMultilevel"/>
    <w:tmpl w:val="40DCB6F6"/>
    <w:lvl w:ilvl="0" w:tplc="9C3AEC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88E3485"/>
    <w:multiLevelType w:val="hybridMultilevel"/>
    <w:tmpl w:val="F050B1C8"/>
    <w:lvl w:ilvl="0" w:tplc="EF8A17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D062EFB"/>
    <w:multiLevelType w:val="hybridMultilevel"/>
    <w:tmpl w:val="05DE61F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>
    <w:nsid w:val="7D224671"/>
    <w:multiLevelType w:val="hybridMultilevel"/>
    <w:tmpl w:val="3A0E8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6"/>
  </w:num>
  <w:num w:numId="5">
    <w:abstractNumId w:val="14"/>
  </w:num>
  <w:num w:numId="6">
    <w:abstractNumId w:val="11"/>
  </w:num>
  <w:num w:numId="7">
    <w:abstractNumId w:val="20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27"/>
  </w:num>
  <w:num w:numId="13">
    <w:abstractNumId w:val="8"/>
  </w:num>
  <w:num w:numId="14">
    <w:abstractNumId w:val="21"/>
  </w:num>
  <w:num w:numId="15">
    <w:abstractNumId w:val="25"/>
  </w:num>
  <w:num w:numId="16">
    <w:abstractNumId w:val="24"/>
  </w:num>
  <w:num w:numId="17">
    <w:abstractNumId w:val="2"/>
  </w:num>
  <w:num w:numId="18">
    <w:abstractNumId w:val="23"/>
  </w:num>
  <w:num w:numId="19">
    <w:abstractNumId w:val="7"/>
  </w:num>
  <w:num w:numId="20">
    <w:abstractNumId w:val="16"/>
  </w:num>
  <w:num w:numId="21">
    <w:abstractNumId w:val="17"/>
  </w:num>
  <w:num w:numId="22">
    <w:abstractNumId w:val="28"/>
  </w:num>
  <w:num w:numId="23">
    <w:abstractNumId w:val="12"/>
  </w:num>
  <w:num w:numId="24">
    <w:abstractNumId w:val="3"/>
  </w:num>
  <w:num w:numId="25">
    <w:abstractNumId w:val="5"/>
  </w:num>
  <w:num w:numId="26">
    <w:abstractNumId w:val="15"/>
  </w:num>
  <w:num w:numId="27">
    <w:abstractNumId w:val="19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C"/>
    <w:rsid w:val="00022CA6"/>
    <w:rsid w:val="00051E18"/>
    <w:rsid w:val="00055C12"/>
    <w:rsid w:val="000D3DF1"/>
    <w:rsid w:val="00143966"/>
    <w:rsid w:val="00186BD1"/>
    <w:rsid w:val="001C13D2"/>
    <w:rsid w:val="002518C5"/>
    <w:rsid w:val="00261E91"/>
    <w:rsid w:val="002A142F"/>
    <w:rsid w:val="00300EE0"/>
    <w:rsid w:val="003C0C80"/>
    <w:rsid w:val="003D1B8C"/>
    <w:rsid w:val="00447BF5"/>
    <w:rsid w:val="00481570"/>
    <w:rsid w:val="005004CE"/>
    <w:rsid w:val="00534B82"/>
    <w:rsid w:val="005A6119"/>
    <w:rsid w:val="005E2EFA"/>
    <w:rsid w:val="006472C8"/>
    <w:rsid w:val="00765728"/>
    <w:rsid w:val="0080133C"/>
    <w:rsid w:val="00804D3A"/>
    <w:rsid w:val="009043C2"/>
    <w:rsid w:val="00905845"/>
    <w:rsid w:val="009170B7"/>
    <w:rsid w:val="00947616"/>
    <w:rsid w:val="00994FD8"/>
    <w:rsid w:val="009B3CAC"/>
    <w:rsid w:val="00A1002F"/>
    <w:rsid w:val="00A1101D"/>
    <w:rsid w:val="00A1106D"/>
    <w:rsid w:val="00A11FA4"/>
    <w:rsid w:val="00A155F5"/>
    <w:rsid w:val="00AB4C97"/>
    <w:rsid w:val="00AD57B7"/>
    <w:rsid w:val="00B473BC"/>
    <w:rsid w:val="00B52C2F"/>
    <w:rsid w:val="00B83ACD"/>
    <w:rsid w:val="00B94BBA"/>
    <w:rsid w:val="00D54404"/>
    <w:rsid w:val="00D91F4D"/>
    <w:rsid w:val="00E40CE5"/>
    <w:rsid w:val="00F0025B"/>
    <w:rsid w:val="00F014B2"/>
    <w:rsid w:val="00F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8C"/>
  </w:style>
  <w:style w:type="paragraph" w:styleId="Footer">
    <w:name w:val="footer"/>
    <w:basedOn w:val="Normal"/>
    <w:link w:val="FooterChar"/>
    <w:uiPriority w:val="99"/>
    <w:unhideWhenUsed/>
    <w:rsid w:val="003D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8C"/>
  </w:style>
  <w:style w:type="paragraph" w:styleId="BalloonText">
    <w:name w:val="Balloon Text"/>
    <w:basedOn w:val="Normal"/>
    <w:link w:val="BalloonTextChar"/>
    <w:uiPriority w:val="99"/>
    <w:semiHidden/>
    <w:unhideWhenUsed/>
    <w:rsid w:val="003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B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8C"/>
  </w:style>
  <w:style w:type="paragraph" w:styleId="Footer">
    <w:name w:val="footer"/>
    <w:basedOn w:val="Normal"/>
    <w:link w:val="FooterChar"/>
    <w:uiPriority w:val="99"/>
    <w:unhideWhenUsed/>
    <w:rsid w:val="003D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8C"/>
  </w:style>
  <w:style w:type="paragraph" w:styleId="BalloonText">
    <w:name w:val="Balloon Text"/>
    <w:basedOn w:val="Normal"/>
    <w:link w:val="BalloonTextChar"/>
    <w:uiPriority w:val="99"/>
    <w:semiHidden/>
    <w:unhideWhenUsed/>
    <w:rsid w:val="003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B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CF90-2066-4869-8561-64DF63D5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9E82C6FC</Template>
  <TotalTime>48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Woods, Kathryn</cp:lastModifiedBy>
  <cp:revision>4</cp:revision>
  <dcterms:created xsi:type="dcterms:W3CDTF">2015-10-21T11:41:00Z</dcterms:created>
  <dcterms:modified xsi:type="dcterms:W3CDTF">2015-10-26T10:25:00Z</dcterms:modified>
</cp:coreProperties>
</file>