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307" w:rsidRDefault="003E1FA9" w:rsidP="00277232">
      <w:pPr>
        <w:spacing w:after="0"/>
        <w:ind w:left="-709" w:right="-897"/>
        <w:jc w:val="both"/>
        <w:rPr>
          <w:b/>
          <w:u w:val="single"/>
        </w:rPr>
      </w:pPr>
      <w:bookmarkStart w:id="0" w:name="_GoBack"/>
      <w:bookmarkEnd w:id="0"/>
      <w:r w:rsidRPr="003E1FA9">
        <w:rPr>
          <w:b/>
          <w:noProof/>
          <w:u w:val="single"/>
          <w:lang w:eastAsia="en-GB"/>
        </w:rPr>
        <w:drawing>
          <wp:anchor distT="0" distB="0" distL="114300" distR="114300" simplePos="0" relativeHeight="251658240" behindDoc="1" locked="0" layoutInCell="1" allowOverlap="1" wp14:anchorId="00B62822" wp14:editId="672E431E">
            <wp:simplePos x="0" y="0"/>
            <wp:positionH relativeFrom="column">
              <wp:posOffset>5008245</wp:posOffset>
            </wp:positionH>
            <wp:positionV relativeFrom="paragraph">
              <wp:posOffset>0</wp:posOffset>
            </wp:positionV>
            <wp:extent cx="973455" cy="1392555"/>
            <wp:effectExtent l="0" t="0" r="0" b="0"/>
            <wp:wrapTight wrapText="bothSides">
              <wp:wrapPolygon edited="0">
                <wp:start x="0" y="0"/>
                <wp:lineTo x="0" y="21275"/>
                <wp:lineTo x="21135" y="21275"/>
                <wp:lineTo x="2113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3455" cy="1392555"/>
                    </a:xfrm>
                    <a:prstGeom prst="rect">
                      <a:avLst/>
                    </a:prstGeom>
                    <a:noFill/>
                  </pic:spPr>
                </pic:pic>
              </a:graphicData>
            </a:graphic>
            <wp14:sizeRelH relativeFrom="page">
              <wp14:pctWidth>0</wp14:pctWidth>
            </wp14:sizeRelH>
            <wp14:sizeRelV relativeFrom="page">
              <wp14:pctHeight>0</wp14:pctHeight>
            </wp14:sizeRelV>
          </wp:anchor>
        </w:drawing>
      </w:r>
      <w:r w:rsidRPr="003E1FA9">
        <w:rPr>
          <w:b/>
          <w:u w:val="single"/>
        </w:rPr>
        <w:t>The Menopause</w:t>
      </w:r>
    </w:p>
    <w:p w:rsidR="003E1FA9" w:rsidRPr="00277232" w:rsidRDefault="003E1FA9" w:rsidP="00277232">
      <w:pPr>
        <w:pStyle w:val="ListParagraph"/>
        <w:numPr>
          <w:ilvl w:val="0"/>
          <w:numId w:val="1"/>
        </w:numPr>
        <w:spacing w:after="0"/>
        <w:ind w:left="-709" w:right="-897"/>
        <w:jc w:val="both"/>
      </w:pPr>
      <w:r w:rsidRPr="00277232">
        <w:t>Occurs between the ages of 45-55 when a woman’s oestrogen levels decline and she stops having periods and is no longer able to get pregnant naturally.</w:t>
      </w:r>
    </w:p>
    <w:p w:rsidR="003E1FA9" w:rsidRPr="00277232" w:rsidRDefault="003E1FA9" w:rsidP="00277232">
      <w:pPr>
        <w:pStyle w:val="ListParagraph"/>
        <w:numPr>
          <w:ilvl w:val="0"/>
          <w:numId w:val="1"/>
        </w:numPr>
        <w:ind w:left="-709" w:right="-897"/>
        <w:jc w:val="both"/>
      </w:pPr>
      <w:r w:rsidRPr="00277232">
        <w:t>‘Symptoms’ are said to include: hot flushes, night sweats, sexual discomfort, difficulty sleeping, anxiety, reduced sex drive, problems with memory/concentration and osteoporosis.</w:t>
      </w:r>
    </w:p>
    <w:p w:rsidR="003E1FA9" w:rsidRPr="00277232" w:rsidRDefault="003E1FA9" w:rsidP="00277232">
      <w:pPr>
        <w:pStyle w:val="ListParagraph"/>
        <w:numPr>
          <w:ilvl w:val="0"/>
          <w:numId w:val="1"/>
        </w:numPr>
        <w:ind w:left="-709" w:right="-897"/>
        <w:jc w:val="both"/>
      </w:pPr>
      <w:r w:rsidRPr="00277232">
        <w:t>Marie Stopes, The Change of Life in Men and Women (1936): ‘The crises of a woman’s life have been much descanted upon by men medical writers [and] perhaps the most artificially created has been her change’.</w:t>
      </w:r>
    </w:p>
    <w:p w:rsidR="003E1FA9" w:rsidRDefault="003E1FA9" w:rsidP="00277232">
      <w:pPr>
        <w:spacing w:after="0"/>
        <w:ind w:left="-709" w:right="-897"/>
        <w:jc w:val="both"/>
        <w:rPr>
          <w:b/>
          <w:u w:val="single"/>
        </w:rPr>
      </w:pPr>
      <w:r>
        <w:rPr>
          <w:b/>
          <w:u w:val="single"/>
        </w:rPr>
        <w:t>Medicalisation of M</w:t>
      </w:r>
      <w:r w:rsidR="00277232">
        <w:rPr>
          <w:b/>
          <w:u w:val="single"/>
        </w:rPr>
        <w:t>enopause</w:t>
      </w:r>
    </w:p>
    <w:p w:rsidR="003E1FA9" w:rsidRDefault="003E1FA9" w:rsidP="00277232">
      <w:pPr>
        <w:pStyle w:val="ListParagraph"/>
        <w:numPr>
          <w:ilvl w:val="0"/>
          <w:numId w:val="2"/>
        </w:numPr>
        <w:spacing w:after="0"/>
        <w:ind w:left="-709" w:right="-897"/>
        <w:jc w:val="both"/>
      </w:pPr>
      <w:r>
        <w:t xml:space="preserve">For medicalisation theory see Ivan Illich and I.K. Zola. For medicalisation of ideas about gender difference see Ludmilla Jordanova, </w:t>
      </w:r>
      <w:r w:rsidRPr="003E1FA9">
        <w:rPr>
          <w:i/>
        </w:rPr>
        <w:t>Sexual Visions</w:t>
      </w:r>
      <w:r>
        <w:t xml:space="preserve"> (1989).</w:t>
      </w:r>
    </w:p>
    <w:p w:rsidR="003E1FA9" w:rsidRPr="003E1FA9" w:rsidRDefault="003E1FA9" w:rsidP="00277232">
      <w:pPr>
        <w:pStyle w:val="ListParagraph"/>
        <w:numPr>
          <w:ilvl w:val="0"/>
          <w:numId w:val="2"/>
        </w:numPr>
        <w:ind w:left="-709" w:right="-897"/>
        <w:jc w:val="both"/>
      </w:pPr>
      <w:r w:rsidRPr="003E1FA9">
        <w:t>Menopause first discussed as a medical issue in the 18</w:t>
      </w:r>
      <w:r w:rsidRPr="003E1FA9">
        <w:rPr>
          <w:vertAlign w:val="superscript"/>
        </w:rPr>
        <w:t>th</w:t>
      </w:r>
      <w:r w:rsidRPr="003E1FA9">
        <w:t xml:space="preserve"> century. Dr John Hunter (1728-1793):</w:t>
      </w:r>
      <w:r w:rsidRPr="003E1FA9">
        <w:rPr>
          <w:sz w:val="24"/>
          <w:szCs w:val="24"/>
        </w:rPr>
        <w:t xml:space="preserve"> </w:t>
      </w:r>
      <w:r w:rsidRPr="003E1FA9">
        <w:t>‘The female, at a much later time of life, when the powers of propagation cease, loses many of her peculiar properties, and may be said, except from mere structure of parts, to be of no sex, even receding from the original character of the animal, and approaching, in appearance, towards the male, or perhaps more properly towards the hermaphrodite’.</w:t>
      </w:r>
    </w:p>
    <w:p w:rsidR="00000000" w:rsidRDefault="003E1FA9" w:rsidP="00277232">
      <w:pPr>
        <w:pStyle w:val="ListParagraph"/>
        <w:numPr>
          <w:ilvl w:val="0"/>
          <w:numId w:val="2"/>
        </w:numPr>
        <w:ind w:left="-709" w:right="-897"/>
        <w:jc w:val="both"/>
      </w:pPr>
      <w:r>
        <w:t>19</w:t>
      </w:r>
      <w:r w:rsidRPr="003E1FA9">
        <w:rPr>
          <w:vertAlign w:val="superscript"/>
        </w:rPr>
        <w:t>th</w:t>
      </w:r>
      <w:r>
        <w:t xml:space="preserve"> century – defined as a pathological disease (like other ‘diseases’ of women associated with reproductive organs and ‘changes’ across the life cycle). Symptoms included: </w:t>
      </w:r>
      <w:r w:rsidR="00394203" w:rsidRPr="003E1FA9">
        <w:t xml:space="preserve">hot flushes, sweats, weight gain, backache, fatigue, headache, dizzy spells, irritability, nervousness, apathy, depression, emotional instability, feeling </w:t>
      </w:r>
      <w:r w:rsidR="00394203" w:rsidRPr="003E1FA9">
        <w:t>of suffocation, forgetfulness, insomnia, panic, chest pain, breast pain, constipation, diarrhoea, changes in libido, anxieties about the body</w:t>
      </w:r>
      <w:r>
        <w:t>.</w:t>
      </w:r>
    </w:p>
    <w:p w:rsidR="003E1FA9" w:rsidRPr="003E1FA9" w:rsidRDefault="003E1FA9" w:rsidP="00277232">
      <w:pPr>
        <w:pStyle w:val="ListParagraph"/>
        <w:numPr>
          <w:ilvl w:val="0"/>
          <w:numId w:val="2"/>
        </w:numPr>
        <w:ind w:left="-709" w:right="-897"/>
        <w:jc w:val="both"/>
      </w:pPr>
      <w:r>
        <w:t xml:space="preserve">Associated diseases included: </w:t>
      </w:r>
      <w:r w:rsidR="00394203" w:rsidRPr="003E1FA9">
        <w:t>climacteric insanity’ or ‘involutional melancho</w:t>
      </w:r>
      <w:r>
        <w:t>lia’ or ‘old maids’ insanity’.</w:t>
      </w:r>
    </w:p>
    <w:p w:rsidR="002D7A31" w:rsidRDefault="003E1FA9" w:rsidP="002D7A31">
      <w:pPr>
        <w:pStyle w:val="ListParagraph"/>
        <w:numPr>
          <w:ilvl w:val="0"/>
          <w:numId w:val="2"/>
        </w:numPr>
        <w:ind w:left="-709" w:right="-897"/>
        <w:jc w:val="both"/>
      </w:pPr>
      <w:r>
        <w:t>20</w:t>
      </w:r>
      <w:r w:rsidRPr="003E1FA9">
        <w:rPr>
          <w:vertAlign w:val="superscript"/>
        </w:rPr>
        <w:t>th</w:t>
      </w:r>
      <w:r>
        <w:t xml:space="preserve"> century – linked to osteoporosis, depression (various other ageing diseases)</w:t>
      </w:r>
      <w:r w:rsidR="002D7A31">
        <w:t>.</w:t>
      </w:r>
    </w:p>
    <w:p w:rsidR="003E1FA9" w:rsidRPr="002D7A31" w:rsidRDefault="002D7A31" w:rsidP="002D7A31">
      <w:pPr>
        <w:pStyle w:val="ListParagraph"/>
        <w:ind w:left="-709" w:right="-897"/>
        <w:jc w:val="both"/>
      </w:pPr>
      <w:r>
        <w:rPr>
          <w:b/>
          <w:u w:val="single"/>
        </w:rPr>
        <w:t>Menopause</w:t>
      </w:r>
      <w:r w:rsidR="003E1FA9" w:rsidRPr="002D7A31">
        <w:rPr>
          <w:b/>
          <w:u w:val="single"/>
        </w:rPr>
        <w:t xml:space="preserve"> and the Life Cycle</w:t>
      </w:r>
    </w:p>
    <w:p w:rsidR="003E1FA9" w:rsidRDefault="003E1FA9" w:rsidP="002D7A31">
      <w:pPr>
        <w:pStyle w:val="ListParagraph"/>
        <w:numPr>
          <w:ilvl w:val="0"/>
          <w:numId w:val="4"/>
        </w:numPr>
        <w:spacing w:after="0"/>
        <w:ind w:left="-709" w:right="-897"/>
        <w:jc w:val="both"/>
      </w:pPr>
      <w:r>
        <w:t>Seen as the final stage before death. Old age began at 45 in the 19</w:t>
      </w:r>
      <w:r w:rsidRPr="003E1FA9">
        <w:rPr>
          <w:vertAlign w:val="superscript"/>
        </w:rPr>
        <w:t>th</w:t>
      </w:r>
      <w:r>
        <w:t xml:space="preserve"> century (F.B. Smith, The People’s Health). </w:t>
      </w:r>
    </w:p>
    <w:p w:rsidR="003E1FA9" w:rsidRDefault="003E1FA9" w:rsidP="00277232">
      <w:pPr>
        <w:pStyle w:val="ListParagraph"/>
        <w:numPr>
          <w:ilvl w:val="0"/>
          <w:numId w:val="4"/>
        </w:numPr>
        <w:ind w:left="-709" w:right="-897"/>
        <w:jc w:val="both"/>
      </w:pPr>
      <w:r>
        <w:t>Linked to physical decline (possible loss of body’s feminine attributes and acquisition of male ones.</w:t>
      </w:r>
    </w:p>
    <w:p w:rsidR="00277232" w:rsidRDefault="003E1FA9" w:rsidP="00277232">
      <w:pPr>
        <w:pStyle w:val="ListParagraph"/>
        <w:numPr>
          <w:ilvl w:val="0"/>
          <w:numId w:val="4"/>
        </w:numPr>
        <w:ind w:left="-709" w:right="-897"/>
        <w:jc w:val="both"/>
      </w:pPr>
      <w:r>
        <w:t>19</w:t>
      </w:r>
      <w:r w:rsidRPr="003E1FA9">
        <w:rPr>
          <w:vertAlign w:val="superscript"/>
        </w:rPr>
        <w:t>th</w:t>
      </w:r>
      <w:r>
        <w:t xml:space="preserve"> century – womanhood defined by motherhood. Menopause t</w:t>
      </w:r>
      <w:r w:rsidR="00277232">
        <w:t>hus caused crisis of femininity/women lose their social function and purposes. Problematic category of women.</w:t>
      </w:r>
    </w:p>
    <w:p w:rsidR="00277232" w:rsidRDefault="00277232" w:rsidP="002D7A31">
      <w:pPr>
        <w:pStyle w:val="ListParagraph"/>
        <w:numPr>
          <w:ilvl w:val="0"/>
          <w:numId w:val="4"/>
        </w:numPr>
        <w:spacing w:after="0"/>
        <w:ind w:left="-709" w:right="-897"/>
        <w:jc w:val="both"/>
      </w:pPr>
      <w:r>
        <w:t xml:space="preserve">Simone de Beauvior in </w:t>
      </w:r>
      <w:r w:rsidRPr="00277232">
        <w:rPr>
          <w:i/>
        </w:rPr>
        <w:t>The Second Sex</w:t>
      </w:r>
      <w:r>
        <w:t xml:space="preserve"> (1949), argued that medical discourses invested reproductive femininity with elements of ‘service’/work and consequently rendered women useless after menopause. </w:t>
      </w:r>
    </w:p>
    <w:p w:rsidR="00277232" w:rsidRPr="002D7A31" w:rsidRDefault="00277232" w:rsidP="002D7A31">
      <w:pPr>
        <w:spacing w:after="0"/>
        <w:ind w:left="-709" w:right="-897"/>
        <w:jc w:val="both"/>
        <w:rPr>
          <w:b/>
          <w:u w:val="single"/>
        </w:rPr>
      </w:pPr>
      <w:r w:rsidRPr="002D7A31">
        <w:rPr>
          <w:b/>
          <w:u w:val="single"/>
        </w:rPr>
        <w:t>Treatment? Hormones</w:t>
      </w:r>
    </w:p>
    <w:p w:rsidR="00277232" w:rsidRDefault="00277232" w:rsidP="002D7A31">
      <w:pPr>
        <w:pStyle w:val="ListParagraph"/>
        <w:numPr>
          <w:ilvl w:val="0"/>
          <w:numId w:val="6"/>
        </w:numPr>
        <w:spacing w:after="0"/>
        <w:ind w:left="-709" w:right="-897"/>
        <w:jc w:val="both"/>
      </w:pPr>
      <w:r>
        <w:t>Research on hormones as a ‘treatment’ for menopause began in 1910s. Menopause redefined as a hormonal disease rather than a pathological or ‘reproductive’ disease.</w:t>
      </w:r>
    </w:p>
    <w:p w:rsidR="00277232" w:rsidRDefault="002D7A31" w:rsidP="00277232">
      <w:pPr>
        <w:pStyle w:val="ListParagraph"/>
        <w:numPr>
          <w:ilvl w:val="0"/>
          <w:numId w:val="6"/>
        </w:numPr>
        <w:ind w:left="-709" w:right="-897"/>
        <w:jc w:val="both"/>
      </w:pPr>
      <w:r>
        <w:t>Medications</w:t>
      </w:r>
      <w:r w:rsidR="00277232">
        <w:t xml:space="preserve"> addressed hot flushes, mood swings, and palpitations – restored ‘normal’ hormonal balance.</w:t>
      </w:r>
    </w:p>
    <w:p w:rsidR="00277232" w:rsidRPr="002D7A31" w:rsidRDefault="00277232" w:rsidP="002D7A31">
      <w:pPr>
        <w:pStyle w:val="ListParagraph"/>
        <w:numPr>
          <w:ilvl w:val="0"/>
          <w:numId w:val="6"/>
        </w:numPr>
        <w:ind w:left="-709" w:right="-897"/>
        <w:jc w:val="both"/>
      </w:pPr>
      <w:r>
        <w:t>Hormone Replacement Therapy – oestrogen used since the 1930s. Increased after the 1960s (production cheaper – see week on the pill). Became a huge market for pharmaceutical companies.</w:t>
      </w:r>
    </w:p>
    <w:p w:rsidR="002D7A31" w:rsidRPr="002D7A31" w:rsidRDefault="002D7A31" w:rsidP="002D7A31">
      <w:pPr>
        <w:pStyle w:val="ListParagraph"/>
        <w:ind w:left="-709" w:right="-897"/>
        <w:jc w:val="both"/>
        <w:rPr>
          <w:b/>
          <w:u w:val="single"/>
        </w:rPr>
      </w:pPr>
      <w:r>
        <w:rPr>
          <w:b/>
          <w:u w:val="single"/>
        </w:rPr>
        <w:t>‘Normalising’ M</w:t>
      </w:r>
      <w:r w:rsidRPr="002D7A31">
        <w:rPr>
          <w:b/>
          <w:u w:val="single"/>
        </w:rPr>
        <w:t>enopause</w:t>
      </w:r>
      <w:r>
        <w:rPr>
          <w:b/>
          <w:u w:val="single"/>
        </w:rPr>
        <w:t>: 20</w:t>
      </w:r>
      <w:r w:rsidRPr="002D7A31">
        <w:rPr>
          <w:b/>
          <w:u w:val="single"/>
          <w:vertAlign w:val="superscript"/>
        </w:rPr>
        <w:t>th</w:t>
      </w:r>
      <w:r>
        <w:rPr>
          <w:b/>
          <w:u w:val="single"/>
        </w:rPr>
        <w:t xml:space="preserve"> century</w:t>
      </w:r>
    </w:p>
    <w:p w:rsidR="002D7A31" w:rsidRDefault="002D7A31" w:rsidP="002D7A31">
      <w:pPr>
        <w:pStyle w:val="ListParagraph"/>
        <w:numPr>
          <w:ilvl w:val="0"/>
          <w:numId w:val="6"/>
        </w:numPr>
        <w:ind w:left="-709" w:right="-897"/>
        <w:jc w:val="both"/>
      </w:pPr>
      <w:r>
        <w:t xml:space="preserve">Medical Women’s Federation Research survey (1926) – symptoms of menopause muted for women. 90% carried on their usual daily routine [findings published in </w:t>
      </w:r>
      <w:r w:rsidRPr="002D7A31">
        <w:rPr>
          <w:i/>
        </w:rPr>
        <w:t>The Lancet</w:t>
      </w:r>
      <w:r>
        <w:t xml:space="preserve"> (1933)]. See J.-M. Strange, ‘In Full Possession of her Powers’ </w:t>
      </w:r>
      <w:r w:rsidRPr="002D7A31">
        <w:rPr>
          <w:i/>
        </w:rPr>
        <w:t>SHM</w:t>
      </w:r>
      <w:r>
        <w:t xml:space="preserve"> (2012). Used to justify women’s war work (ww2).</w:t>
      </w:r>
    </w:p>
    <w:p w:rsidR="002D7A31" w:rsidRDefault="002D7A31" w:rsidP="002D7A31">
      <w:pPr>
        <w:pStyle w:val="ListParagraph"/>
        <w:numPr>
          <w:ilvl w:val="0"/>
          <w:numId w:val="6"/>
        </w:numPr>
        <w:ind w:left="-709" w:right="-897"/>
        <w:jc w:val="both"/>
      </w:pPr>
      <w:r>
        <w:t xml:space="preserve">Women started to discuss and take responsibility for menopause themselves – Marie Stopes, </w:t>
      </w:r>
      <w:r w:rsidRPr="002D7A31">
        <w:rPr>
          <w:i/>
        </w:rPr>
        <w:t>Change of Life</w:t>
      </w:r>
      <w:r>
        <w:t xml:space="preserve"> (1936); Janet Quigley, </w:t>
      </w:r>
      <w:r w:rsidRPr="002D7A31">
        <w:rPr>
          <w:i/>
        </w:rPr>
        <w:t>Woman’s Hour</w:t>
      </w:r>
      <w:r>
        <w:t xml:space="preserve"> [BBC] (1950); </w:t>
      </w:r>
      <w:r w:rsidRPr="002D7A31">
        <w:rPr>
          <w:i/>
        </w:rPr>
        <w:t>Our Bodies Ourselves</w:t>
      </w:r>
      <w:r>
        <w:t xml:space="preserve"> (1971); Germaine Greer, </w:t>
      </w:r>
      <w:r w:rsidRPr="002D7A31">
        <w:rPr>
          <w:i/>
        </w:rPr>
        <w:t>The Change</w:t>
      </w:r>
      <w:r>
        <w:t xml:space="preserve"> (1992); </w:t>
      </w:r>
      <w:r w:rsidR="00394203" w:rsidRPr="002D7A31">
        <w:t xml:space="preserve">Jenni Murray, </w:t>
      </w:r>
      <w:r w:rsidR="00394203" w:rsidRPr="002D7A31">
        <w:rPr>
          <w:i/>
          <w:iCs/>
        </w:rPr>
        <w:t xml:space="preserve">Is It Me or Is It Hot in Here: A Modern Woman’s Guide to the Menopause </w:t>
      </w:r>
      <w:r>
        <w:rPr>
          <w:iCs/>
        </w:rPr>
        <w:t>(2003</w:t>
      </w:r>
      <w:r w:rsidR="00394203" w:rsidRPr="002D7A31">
        <w:rPr>
          <w:iCs/>
        </w:rPr>
        <w:t>)</w:t>
      </w:r>
      <w:r>
        <w:rPr>
          <w:iCs/>
        </w:rPr>
        <w:t>.</w:t>
      </w:r>
      <w:r w:rsidR="00394203" w:rsidRPr="002D7A31">
        <w:t xml:space="preserve"> </w:t>
      </w:r>
    </w:p>
    <w:p w:rsidR="002D7A31" w:rsidRDefault="002D7A31" w:rsidP="002D7A31">
      <w:pPr>
        <w:pStyle w:val="ListParagraph"/>
        <w:spacing w:after="0"/>
        <w:ind w:left="-709" w:right="-897"/>
        <w:jc w:val="both"/>
        <w:rPr>
          <w:b/>
          <w:u w:val="single"/>
        </w:rPr>
      </w:pPr>
      <w:r w:rsidRPr="002D7A31">
        <w:rPr>
          <w:b/>
          <w:u w:val="single"/>
        </w:rPr>
        <w:t>Male Menopause</w:t>
      </w:r>
    </w:p>
    <w:p w:rsidR="002D7A31" w:rsidRPr="001E3815" w:rsidRDefault="002D7A31" w:rsidP="001E3815">
      <w:pPr>
        <w:pStyle w:val="ListParagraph"/>
        <w:numPr>
          <w:ilvl w:val="0"/>
          <w:numId w:val="6"/>
        </w:numPr>
        <w:spacing w:after="0"/>
        <w:ind w:left="-709" w:right="-897" w:hanging="284"/>
        <w:jc w:val="both"/>
      </w:pPr>
      <w:r w:rsidRPr="001E3815">
        <w:t>First identified in 1910 by Kurt Mendel – attracted much attention in early 20</w:t>
      </w:r>
      <w:r w:rsidRPr="001E3815">
        <w:rPr>
          <w:vertAlign w:val="superscript"/>
        </w:rPr>
        <w:t>th</w:t>
      </w:r>
      <w:r w:rsidRPr="001E3815">
        <w:t xml:space="preserve"> century. Symptoms included sexual and physical decline, lack of energy, depression.</w:t>
      </w:r>
    </w:p>
    <w:p w:rsidR="002D7A31" w:rsidRPr="001E3815" w:rsidRDefault="002D7A31" w:rsidP="001E3815">
      <w:pPr>
        <w:pStyle w:val="ListParagraph"/>
        <w:numPr>
          <w:ilvl w:val="0"/>
          <w:numId w:val="6"/>
        </w:numPr>
        <w:spacing w:after="0"/>
        <w:ind w:left="-709" w:right="-897" w:hanging="284"/>
        <w:jc w:val="both"/>
      </w:pPr>
      <w:r w:rsidRPr="001E3815">
        <w:t xml:space="preserve">Treatments: monkey gland operation, Serge Voronoff (1920s); </w:t>
      </w:r>
      <w:r w:rsidR="001E3815" w:rsidRPr="001E3815">
        <w:t>Vasectomy</w:t>
      </w:r>
      <w:r w:rsidRPr="001E3815">
        <w:t xml:space="preserve"> (Yests, 1930s); </w:t>
      </w:r>
      <w:r w:rsidR="001E3815" w:rsidRPr="001E3815">
        <w:t>Testosterone</w:t>
      </w:r>
      <w:r w:rsidRPr="001E3815">
        <w:t xml:space="preserve"> (1920s onwards); Viagra (1998). Now largely</w:t>
      </w:r>
      <w:r w:rsidR="001E3815" w:rsidRPr="001E3815">
        <w:t xml:space="preserve"> disappeared. Good case study of socially constructed disease. See E. Watkins, ‘Medicine, Masculinity and the Disappearance of the Male Menopause, </w:t>
      </w:r>
      <w:r w:rsidR="001E3815" w:rsidRPr="001E3815">
        <w:rPr>
          <w:i/>
        </w:rPr>
        <w:t>SHM</w:t>
      </w:r>
      <w:r w:rsidR="001E3815" w:rsidRPr="001E3815">
        <w:t xml:space="preserve"> (2008)</w:t>
      </w:r>
    </w:p>
    <w:p w:rsidR="002D7A31" w:rsidRPr="002D7A31" w:rsidRDefault="002D7A31" w:rsidP="002D7A31">
      <w:pPr>
        <w:pStyle w:val="ListParagraph"/>
        <w:ind w:left="-709" w:right="-897"/>
        <w:jc w:val="both"/>
        <w:rPr>
          <w:b/>
          <w:u w:val="single"/>
        </w:rPr>
      </w:pPr>
    </w:p>
    <w:sectPr w:rsidR="002D7A31" w:rsidRPr="002D7A31" w:rsidSect="001E3815">
      <w:pgSz w:w="11906" w:h="16838"/>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203" w:rsidRDefault="00394203" w:rsidP="003E1FA9">
      <w:pPr>
        <w:spacing w:after="0" w:line="240" w:lineRule="auto"/>
      </w:pPr>
      <w:r>
        <w:separator/>
      </w:r>
    </w:p>
  </w:endnote>
  <w:endnote w:type="continuationSeparator" w:id="0">
    <w:p w:rsidR="00394203" w:rsidRDefault="00394203" w:rsidP="003E1F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203" w:rsidRDefault="00394203" w:rsidP="003E1FA9">
      <w:pPr>
        <w:spacing w:after="0" w:line="240" w:lineRule="auto"/>
      </w:pPr>
      <w:r>
        <w:separator/>
      </w:r>
    </w:p>
  </w:footnote>
  <w:footnote w:type="continuationSeparator" w:id="0">
    <w:p w:rsidR="00394203" w:rsidRDefault="00394203" w:rsidP="003E1F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8C675C"/>
    <w:multiLevelType w:val="hybridMultilevel"/>
    <w:tmpl w:val="196A45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07F783B"/>
    <w:multiLevelType w:val="hybridMultilevel"/>
    <w:tmpl w:val="A4FC06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E4E43D5"/>
    <w:multiLevelType w:val="hybridMultilevel"/>
    <w:tmpl w:val="0E6A4DCC"/>
    <w:lvl w:ilvl="0" w:tplc="E8D033A6">
      <w:start w:val="1"/>
      <w:numFmt w:val="bullet"/>
      <w:lvlText w:val=""/>
      <w:lvlJc w:val="left"/>
      <w:pPr>
        <w:tabs>
          <w:tab w:val="num" w:pos="720"/>
        </w:tabs>
        <w:ind w:left="720" w:hanging="360"/>
      </w:pPr>
      <w:rPr>
        <w:rFonts w:ascii="Wingdings 2" w:hAnsi="Wingdings 2" w:hint="default"/>
      </w:rPr>
    </w:lvl>
    <w:lvl w:ilvl="1" w:tplc="B574CF9A" w:tentative="1">
      <w:start w:val="1"/>
      <w:numFmt w:val="bullet"/>
      <w:lvlText w:val=""/>
      <w:lvlJc w:val="left"/>
      <w:pPr>
        <w:tabs>
          <w:tab w:val="num" w:pos="1440"/>
        </w:tabs>
        <w:ind w:left="1440" w:hanging="360"/>
      </w:pPr>
      <w:rPr>
        <w:rFonts w:ascii="Wingdings 2" w:hAnsi="Wingdings 2" w:hint="default"/>
      </w:rPr>
    </w:lvl>
    <w:lvl w:ilvl="2" w:tplc="BD3A0090" w:tentative="1">
      <w:start w:val="1"/>
      <w:numFmt w:val="bullet"/>
      <w:lvlText w:val=""/>
      <w:lvlJc w:val="left"/>
      <w:pPr>
        <w:tabs>
          <w:tab w:val="num" w:pos="2160"/>
        </w:tabs>
        <w:ind w:left="2160" w:hanging="360"/>
      </w:pPr>
      <w:rPr>
        <w:rFonts w:ascii="Wingdings 2" w:hAnsi="Wingdings 2" w:hint="default"/>
      </w:rPr>
    </w:lvl>
    <w:lvl w:ilvl="3" w:tplc="E01EA176" w:tentative="1">
      <w:start w:val="1"/>
      <w:numFmt w:val="bullet"/>
      <w:lvlText w:val=""/>
      <w:lvlJc w:val="left"/>
      <w:pPr>
        <w:tabs>
          <w:tab w:val="num" w:pos="2880"/>
        </w:tabs>
        <w:ind w:left="2880" w:hanging="360"/>
      </w:pPr>
      <w:rPr>
        <w:rFonts w:ascii="Wingdings 2" w:hAnsi="Wingdings 2" w:hint="default"/>
      </w:rPr>
    </w:lvl>
    <w:lvl w:ilvl="4" w:tplc="92EAC5F4" w:tentative="1">
      <w:start w:val="1"/>
      <w:numFmt w:val="bullet"/>
      <w:lvlText w:val=""/>
      <w:lvlJc w:val="left"/>
      <w:pPr>
        <w:tabs>
          <w:tab w:val="num" w:pos="3600"/>
        </w:tabs>
        <w:ind w:left="3600" w:hanging="360"/>
      </w:pPr>
      <w:rPr>
        <w:rFonts w:ascii="Wingdings 2" w:hAnsi="Wingdings 2" w:hint="default"/>
      </w:rPr>
    </w:lvl>
    <w:lvl w:ilvl="5" w:tplc="C11E4F26" w:tentative="1">
      <w:start w:val="1"/>
      <w:numFmt w:val="bullet"/>
      <w:lvlText w:val=""/>
      <w:lvlJc w:val="left"/>
      <w:pPr>
        <w:tabs>
          <w:tab w:val="num" w:pos="4320"/>
        </w:tabs>
        <w:ind w:left="4320" w:hanging="360"/>
      </w:pPr>
      <w:rPr>
        <w:rFonts w:ascii="Wingdings 2" w:hAnsi="Wingdings 2" w:hint="default"/>
      </w:rPr>
    </w:lvl>
    <w:lvl w:ilvl="6" w:tplc="ED3226D8" w:tentative="1">
      <w:start w:val="1"/>
      <w:numFmt w:val="bullet"/>
      <w:lvlText w:val=""/>
      <w:lvlJc w:val="left"/>
      <w:pPr>
        <w:tabs>
          <w:tab w:val="num" w:pos="5040"/>
        </w:tabs>
        <w:ind w:left="5040" w:hanging="360"/>
      </w:pPr>
      <w:rPr>
        <w:rFonts w:ascii="Wingdings 2" w:hAnsi="Wingdings 2" w:hint="default"/>
      </w:rPr>
    </w:lvl>
    <w:lvl w:ilvl="7" w:tplc="AA9A872E" w:tentative="1">
      <w:start w:val="1"/>
      <w:numFmt w:val="bullet"/>
      <w:lvlText w:val=""/>
      <w:lvlJc w:val="left"/>
      <w:pPr>
        <w:tabs>
          <w:tab w:val="num" w:pos="5760"/>
        </w:tabs>
        <w:ind w:left="5760" w:hanging="360"/>
      </w:pPr>
      <w:rPr>
        <w:rFonts w:ascii="Wingdings 2" w:hAnsi="Wingdings 2" w:hint="default"/>
      </w:rPr>
    </w:lvl>
    <w:lvl w:ilvl="8" w:tplc="7F44C832"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51434151"/>
    <w:multiLevelType w:val="hybridMultilevel"/>
    <w:tmpl w:val="FE92E300"/>
    <w:lvl w:ilvl="0" w:tplc="2BE087A2">
      <w:start w:val="1"/>
      <w:numFmt w:val="bullet"/>
      <w:lvlText w:val=""/>
      <w:lvlJc w:val="left"/>
      <w:pPr>
        <w:tabs>
          <w:tab w:val="num" w:pos="720"/>
        </w:tabs>
        <w:ind w:left="720" w:hanging="360"/>
      </w:pPr>
      <w:rPr>
        <w:rFonts w:ascii="Wingdings 2" w:hAnsi="Wingdings 2" w:hint="default"/>
      </w:rPr>
    </w:lvl>
    <w:lvl w:ilvl="1" w:tplc="DF80B5CA" w:tentative="1">
      <w:start w:val="1"/>
      <w:numFmt w:val="bullet"/>
      <w:lvlText w:val=""/>
      <w:lvlJc w:val="left"/>
      <w:pPr>
        <w:tabs>
          <w:tab w:val="num" w:pos="1440"/>
        </w:tabs>
        <w:ind w:left="1440" w:hanging="360"/>
      </w:pPr>
      <w:rPr>
        <w:rFonts w:ascii="Wingdings 2" w:hAnsi="Wingdings 2" w:hint="default"/>
      </w:rPr>
    </w:lvl>
    <w:lvl w:ilvl="2" w:tplc="ADAA003A" w:tentative="1">
      <w:start w:val="1"/>
      <w:numFmt w:val="bullet"/>
      <w:lvlText w:val=""/>
      <w:lvlJc w:val="left"/>
      <w:pPr>
        <w:tabs>
          <w:tab w:val="num" w:pos="2160"/>
        </w:tabs>
        <w:ind w:left="2160" w:hanging="360"/>
      </w:pPr>
      <w:rPr>
        <w:rFonts w:ascii="Wingdings 2" w:hAnsi="Wingdings 2" w:hint="default"/>
      </w:rPr>
    </w:lvl>
    <w:lvl w:ilvl="3" w:tplc="F53EDCD2" w:tentative="1">
      <w:start w:val="1"/>
      <w:numFmt w:val="bullet"/>
      <w:lvlText w:val=""/>
      <w:lvlJc w:val="left"/>
      <w:pPr>
        <w:tabs>
          <w:tab w:val="num" w:pos="2880"/>
        </w:tabs>
        <w:ind w:left="2880" w:hanging="360"/>
      </w:pPr>
      <w:rPr>
        <w:rFonts w:ascii="Wingdings 2" w:hAnsi="Wingdings 2" w:hint="default"/>
      </w:rPr>
    </w:lvl>
    <w:lvl w:ilvl="4" w:tplc="10D2AB62" w:tentative="1">
      <w:start w:val="1"/>
      <w:numFmt w:val="bullet"/>
      <w:lvlText w:val=""/>
      <w:lvlJc w:val="left"/>
      <w:pPr>
        <w:tabs>
          <w:tab w:val="num" w:pos="3600"/>
        </w:tabs>
        <w:ind w:left="3600" w:hanging="360"/>
      </w:pPr>
      <w:rPr>
        <w:rFonts w:ascii="Wingdings 2" w:hAnsi="Wingdings 2" w:hint="default"/>
      </w:rPr>
    </w:lvl>
    <w:lvl w:ilvl="5" w:tplc="76DAFBBE" w:tentative="1">
      <w:start w:val="1"/>
      <w:numFmt w:val="bullet"/>
      <w:lvlText w:val=""/>
      <w:lvlJc w:val="left"/>
      <w:pPr>
        <w:tabs>
          <w:tab w:val="num" w:pos="4320"/>
        </w:tabs>
        <w:ind w:left="4320" w:hanging="360"/>
      </w:pPr>
      <w:rPr>
        <w:rFonts w:ascii="Wingdings 2" w:hAnsi="Wingdings 2" w:hint="default"/>
      </w:rPr>
    </w:lvl>
    <w:lvl w:ilvl="6" w:tplc="335013FA" w:tentative="1">
      <w:start w:val="1"/>
      <w:numFmt w:val="bullet"/>
      <w:lvlText w:val=""/>
      <w:lvlJc w:val="left"/>
      <w:pPr>
        <w:tabs>
          <w:tab w:val="num" w:pos="5040"/>
        </w:tabs>
        <w:ind w:left="5040" w:hanging="360"/>
      </w:pPr>
      <w:rPr>
        <w:rFonts w:ascii="Wingdings 2" w:hAnsi="Wingdings 2" w:hint="default"/>
      </w:rPr>
    </w:lvl>
    <w:lvl w:ilvl="7" w:tplc="B79AFFF6" w:tentative="1">
      <w:start w:val="1"/>
      <w:numFmt w:val="bullet"/>
      <w:lvlText w:val=""/>
      <w:lvlJc w:val="left"/>
      <w:pPr>
        <w:tabs>
          <w:tab w:val="num" w:pos="5760"/>
        </w:tabs>
        <w:ind w:left="5760" w:hanging="360"/>
      </w:pPr>
      <w:rPr>
        <w:rFonts w:ascii="Wingdings 2" w:hAnsi="Wingdings 2" w:hint="default"/>
      </w:rPr>
    </w:lvl>
    <w:lvl w:ilvl="8" w:tplc="199497C0"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5EF0591C"/>
    <w:multiLevelType w:val="hybridMultilevel"/>
    <w:tmpl w:val="8890A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78A3800"/>
    <w:multiLevelType w:val="hybridMultilevel"/>
    <w:tmpl w:val="33B04676"/>
    <w:lvl w:ilvl="0" w:tplc="6BA2A546">
      <w:start w:val="1"/>
      <w:numFmt w:val="bullet"/>
      <w:lvlText w:val=""/>
      <w:lvlJc w:val="left"/>
      <w:pPr>
        <w:tabs>
          <w:tab w:val="num" w:pos="720"/>
        </w:tabs>
        <w:ind w:left="720" w:hanging="360"/>
      </w:pPr>
      <w:rPr>
        <w:rFonts w:ascii="Wingdings 2" w:hAnsi="Wingdings 2" w:hint="default"/>
      </w:rPr>
    </w:lvl>
    <w:lvl w:ilvl="1" w:tplc="0422054A" w:tentative="1">
      <w:start w:val="1"/>
      <w:numFmt w:val="bullet"/>
      <w:lvlText w:val=""/>
      <w:lvlJc w:val="left"/>
      <w:pPr>
        <w:tabs>
          <w:tab w:val="num" w:pos="1440"/>
        </w:tabs>
        <w:ind w:left="1440" w:hanging="360"/>
      </w:pPr>
      <w:rPr>
        <w:rFonts w:ascii="Wingdings 2" w:hAnsi="Wingdings 2" w:hint="default"/>
      </w:rPr>
    </w:lvl>
    <w:lvl w:ilvl="2" w:tplc="2604AA62" w:tentative="1">
      <w:start w:val="1"/>
      <w:numFmt w:val="bullet"/>
      <w:lvlText w:val=""/>
      <w:lvlJc w:val="left"/>
      <w:pPr>
        <w:tabs>
          <w:tab w:val="num" w:pos="2160"/>
        </w:tabs>
        <w:ind w:left="2160" w:hanging="360"/>
      </w:pPr>
      <w:rPr>
        <w:rFonts w:ascii="Wingdings 2" w:hAnsi="Wingdings 2" w:hint="default"/>
      </w:rPr>
    </w:lvl>
    <w:lvl w:ilvl="3" w:tplc="E834DA94" w:tentative="1">
      <w:start w:val="1"/>
      <w:numFmt w:val="bullet"/>
      <w:lvlText w:val=""/>
      <w:lvlJc w:val="left"/>
      <w:pPr>
        <w:tabs>
          <w:tab w:val="num" w:pos="2880"/>
        </w:tabs>
        <w:ind w:left="2880" w:hanging="360"/>
      </w:pPr>
      <w:rPr>
        <w:rFonts w:ascii="Wingdings 2" w:hAnsi="Wingdings 2" w:hint="default"/>
      </w:rPr>
    </w:lvl>
    <w:lvl w:ilvl="4" w:tplc="11B2386E" w:tentative="1">
      <w:start w:val="1"/>
      <w:numFmt w:val="bullet"/>
      <w:lvlText w:val=""/>
      <w:lvlJc w:val="left"/>
      <w:pPr>
        <w:tabs>
          <w:tab w:val="num" w:pos="3600"/>
        </w:tabs>
        <w:ind w:left="3600" w:hanging="360"/>
      </w:pPr>
      <w:rPr>
        <w:rFonts w:ascii="Wingdings 2" w:hAnsi="Wingdings 2" w:hint="default"/>
      </w:rPr>
    </w:lvl>
    <w:lvl w:ilvl="5" w:tplc="64045FAC" w:tentative="1">
      <w:start w:val="1"/>
      <w:numFmt w:val="bullet"/>
      <w:lvlText w:val=""/>
      <w:lvlJc w:val="left"/>
      <w:pPr>
        <w:tabs>
          <w:tab w:val="num" w:pos="4320"/>
        </w:tabs>
        <w:ind w:left="4320" w:hanging="360"/>
      </w:pPr>
      <w:rPr>
        <w:rFonts w:ascii="Wingdings 2" w:hAnsi="Wingdings 2" w:hint="default"/>
      </w:rPr>
    </w:lvl>
    <w:lvl w:ilvl="6" w:tplc="BB10FD48" w:tentative="1">
      <w:start w:val="1"/>
      <w:numFmt w:val="bullet"/>
      <w:lvlText w:val=""/>
      <w:lvlJc w:val="left"/>
      <w:pPr>
        <w:tabs>
          <w:tab w:val="num" w:pos="5040"/>
        </w:tabs>
        <w:ind w:left="5040" w:hanging="360"/>
      </w:pPr>
      <w:rPr>
        <w:rFonts w:ascii="Wingdings 2" w:hAnsi="Wingdings 2" w:hint="default"/>
      </w:rPr>
    </w:lvl>
    <w:lvl w:ilvl="7" w:tplc="55A29D94" w:tentative="1">
      <w:start w:val="1"/>
      <w:numFmt w:val="bullet"/>
      <w:lvlText w:val=""/>
      <w:lvlJc w:val="left"/>
      <w:pPr>
        <w:tabs>
          <w:tab w:val="num" w:pos="5760"/>
        </w:tabs>
        <w:ind w:left="5760" w:hanging="360"/>
      </w:pPr>
      <w:rPr>
        <w:rFonts w:ascii="Wingdings 2" w:hAnsi="Wingdings 2" w:hint="default"/>
      </w:rPr>
    </w:lvl>
    <w:lvl w:ilvl="8" w:tplc="D09A1C48" w:tentative="1">
      <w:start w:val="1"/>
      <w:numFmt w:val="bullet"/>
      <w:lvlText w:val=""/>
      <w:lvlJc w:val="left"/>
      <w:pPr>
        <w:tabs>
          <w:tab w:val="num" w:pos="6480"/>
        </w:tabs>
        <w:ind w:left="6480" w:hanging="360"/>
      </w:pPr>
      <w:rPr>
        <w:rFonts w:ascii="Wingdings 2" w:hAnsi="Wingdings 2" w:hint="default"/>
      </w:rPr>
    </w:lvl>
  </w:abstractNum>
  <w:abstractNum w:abstractNumId="6" w15:restartNumberingAfterBreak="0">
    <w:nsid w:val="785F2960"/>
    <w:multiLevelType w:val="hybridMultilevel"/>
    <w:tmpl w:val="0E5409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2"/>
  </w:num>
  <w:num w:numId="4">
    <w:abstractNumId w:val="6"/>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FA9"/>
    <w:rsid w:val="001E3815"/>
    <w:rsid w:val="00277232"/>
    <w:rsid w:val="002D7A31"/>
    <w:rsid w:val="00394203"/>
    <w:rsid w:val="003B3856"/>
    <w:rsid w:val="003E1FA9"/>
    <w:rsid w:val="00D50B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E3529"/>
  <w15:chartTrackingRefBased/>
  <w15:docId w15:val="{333BEF61-2EDE-43AD-82A7-5D45C939A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1FA9"/>
    <w:pPr>
      <w:ind w:left="720"/>
      <w:contextualSpacing/>
    </w:pPr>
  </w:style>
  <w:style w:type="paragraph" w:styleId="FootnoteText">
    <w:name w:val="footnote text"/>
    <w:basedOn w:val="Normal"/>
    <w:link w:val="FootnoteTextChar"/>
    <w:uiPriority w:val="99"/>
    <w:unhideWhenUsed/>
    <w:rsid w:val="003E1FA9"/>
    <w:pPr>
      <w:spacing w:after="0" w:line="240" w:lineRule="auto"/>
    </w:pPr>
    <w:rPr>
      <w:sz w:val="20"/>
      <w:szCs w:val="20"/>
    </w:rPr>
  </w:style>
  <w:style w:type="character" w:customStyle="1" w:styleId="FootnoteTextChar">
    <w:name w:val="Footnote Text Char"/>
    <w:basedOn w:val="DefaultParagraphFont"/>
    <w:link w:val="FootnoteText"/>
    <w:uiPriority w:val="99"/>
    <w:rsid w:val="003E1FA9"/>
    <w:rPr>
      <w:sz w:val="20"/>
      <w:szCs w:val="20"/>
    </w:rPr>
  </w:style>
  <w:style w:type="character" w:styleId="FootnoteReference">
    <w:name w:val="footnote reference"/>
    <w:basedOn w:val="DefaultParagraphFont"/>
    <w:uiPriority w:val="99"/>
    <w:semiHidden/>
    <w:unhideWhenUsed/>
    <w:rsid w:val="003E1F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735621">
      <w:bodyDiv w:val="1"/>
      <w:marLeft w:val="0"/>
      <w:marRight w:val="0"/>
      <w:marTop w:val="0"/>
      <w:marBottom w:val="0"/>
      <w:divBdr>
        <w:top w:val="none" w:sz="0" w:space="0" w:color="auto"/>
        <w:left w:val="none" w:sz="0" w:space="0" w:color="auto"/>
        <w:bottom w:val="none" w:sz="0" w:space="0" w:color="auto"/>
        <w:right w:val="none" w:sz="0" w:space="0" w:color="auto"/>
      </w:divBdr>
      <w:divsChild>
        <w:div w:id="1428313151">
          <w:marLeft w:val="432"/>
          <w:marRight w:val="0"/>
          <w:marTop w:val="110"/>
          <w:marBottom w:val="0"/>
          <w:divBdr>
            <w:top w:val="none" w:sz="0" w:space="0" w:color="auto"/>
            <w:left w:val="none" w:sz="0" w:space="0" w:color="auto"/>
            <w:bottom w:val="none" w:sz="0" w:space="0" w:color="auto"/>
            <w:right w:val="none" w:sz="0" w:space="0" w:color="auto"/>
          </w:divBdr>
        </w:div>
      </w:divsChild>
    </w:div>
    <w:div w:id="874730686">
      <w:bodyDiv w:val="1"/>
      <w:marLeft w:val="0"/>
      <w:marRight w:val="0"/>
      <w:marTop w:val="0"/>
      <w:marBottom w:val="0"/>
      <w:divBdr>
        <w:top w:val="none" w:sz="0" w:space="0" w:color="auto"/>
        <w:left w:val="none" w:sz="0" w:space="0" w:color="auto"/>
        <w:bottom w:val="none" w:sz="0" w:space="0" w:color="auto"/>
        <w:right w:val="none" w:sz="0" w:space="0" w:color="auto"/>
      </w:divBdr>
      <w:divsChild>
        <w:div w:id="1116951803">
          <w:marLeft w:val="432"/>
          <w:marRight w:val="0"/>
          <w:marTop w:val="106"/>
          <w:marBottom w:val="0"/>
          <w:divBdr>
            <w:top w:val="none" w:sz="0" w:space="0" w:color="auto"/>
            <w:left w:val="none" w:sz="0" w:space="0" w:color="auto"/>
            <w:bottom w:val="none" w:sz="0" w:space="0" w:color="auto"/>
            <w:right w:val="none" w:sz="0" w:space="0" w:color="auto"/>
          </w:divBdr>
        </w:div>
      </w:divsChild>
    </w:div>
    <w:div w:id="1597245024">
      <w:bodyDiv w:val="1"/>
      <w:marLeft w:val="0"/>
      <w:marRight w:val="0"/>
      <w:marTop w:val="0"/>
      <w:marBottom w:val="0"/>
      <w:divBdr>
        <w:top w:val="none" w:sz="0" w:space="0" w:color="auto"/>
        <w:left w:val="none" w:sz="0" w:space="0" w:color="auto"/>
        <w:bottom w:val="none" w:sz="0" w:space="0" w:color="auto"/>
        <w:right w:val="none" w:sz="0" w:space="0" w:color="auto"/>
      </w:divBdr>
      <w:divsChild>
        <w:div w:id="1219824053">
          <w:marLeft w:val="432"/>
          <w:marRight w:val="0"/>
          <w:marTop w:val="11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625</Words>
  <Characters>3417</Characters>
  <Application>Microsoft Office Word</Application>
  <DocSecurity>0</DocSecurity>
  <Lines>55</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dc:creator>
  <cp:keywords/>
  <dc:description/>
  <cp:lastModifiedBy>kathryn</cp:lastModifiedBy>
  <cp:revision>2</cp:revision>
  <dcterms:created xsi:type="dcterms:W3CDTF">2016-02-29T11:38:00Z</dcterms:created>
  <dcterms:modified xsi:type="dcterms:W3CDTF">2016-02-29T12:16:00Z</dcterms:modified>
</cp:coreProperties>
</file>