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3AE" w:rsidRDefault="00C7715C" w:rsidP="006A09C0">
      <w:pPr>
        <w:pStyle w:val="ListParagraph"/>
        <w:ind w:left="-851" w:right="-755" w:firstLine="142"/>
        <w:rPr>
          <w:b/>
          <w:u w:val="single"/>
        </w:rPr>
      </w:pPr>
      <w:r w:rsidRPr="00C7715C">
        <w:rPr>
          <w:noProof/>
          <w:u w:val="single"/>
          <w:lang w:eastAsia="en-GB"/>
        </w:rPr>
        <w:drawing>
          <wp:anchor distT="0" distB="0" distL="114300" distR="114300" simplePos="0" relativeHeight="251658240" behindDoc="1" locked="0" layoutInCell="1" allowOverlap="1" wp14:anchorId="1DA20A12" wp14:editId="6C690C35">
            <wp:simplePos x="0" y="0"/>
            <wp:positionH relativeFrom="margin">
              <wp:posOffset>4992370</wp:posOffset>
            </wp:positionH>
            <wp:positionV relativeFrom="paragraph">
              <wp:posOffset>0</wp:posOffset>
            </wp:positionV>
            <wp:extent cx="1377315" cy="1781175"/>
            <wp:effectExtent l="0" t="0" r="0" b="9525"/>
            <wp:wrapTight wrapText="bothSides">
              <wp:wrapPolygon edited="0">
                <wp:start x="0" y="0"/>
                <wp:lineTo x="0" y="21484"/>
                <wp:lineTo x="21212" y="21484"/>
                <wp:lineTo x="21212" y="0"/>
                <wp:lineTo x="0" y="0"/>
              </wp:wrapPolygon>
            </wp:wrapTight>
            <wp:docPr id="28684" name="Picture 12" descr="http://aslongaswebothshalllove.files.wordpress.com/2014/01/ob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84" name="Picture 12" descr="http://aslongaswebothshalllove.files.wordpress.com/2014/01/ob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7315" cy="1781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715C">
        <w:rPr>
          <w:b/>
          <w:u w:val="single"/>
        </w:rPr>
        <w:t>Lecture 12: Wom</w:t>
      </w:r>
      <w:r>
        <w:rPr>
          <w:b/>
          <w:u w:val="single"/>
        </w:rPr>
        <w:t>en, Medicine and the Life Cycle</w:t>
      </w:r>
    </w:p>
    <w:p w:rsidR="00C7715C" w:rsidRDefault="00C7715C" w:rsidP="006A09C0">
      <w:pPr>
        <w:pStyle w:val="ListParagraph"/>
        <w:numPr>
          <w:ilvl w:val="0"/>
          <w:numId w:val="6"/>
        </w:numPr>
        <w:ind w:left="-851" w:right="-755" w:hanging="283"/>
      </w:pPr>
      <w:r>
        <w:t xml:space="preserve">‘The theme of women, health and medicine warrants not a single chapter but an entire volume in order to sum up the state of scholarship in this diverse, energetic and multifaceted area’. H. </w:t>
      </w:r>
      <w:proofErr w:type="spellStart"/>
      <w:r>
        <w:t>Marland</w:t>
      </w:r>
      <w:proofErr w:type="spellEnd"/>
      <w:r>
        <w:t xml:space="preserve">, </w:t>
      </w:r>
      <w:r w:rsidRPr="00C7715C">
        <w:rPr>
          <w:i/>
        </w:rPr>
        <w:t>Oxford Handbook of the History of Medicine</w:t>
      </w:r>
      <w:r>
        <w:t xml:space="preserve"> (2011).</w:t>
      </w:r>
    </w:p>
    <w:p w:rsidR="00C32C02" w:rsidRDefault="00C7715C" w:rsidP="006A09C0">
      <w:pPr>
        <w:pStyle w:val="ListParagraph"/>
        <w:numPr>
          <w:ilvl w:val="0"/>
          <w:numId w:val="6"/>
        </w:numPr>
        <w:ind w:left="-851" w:right="-755" w:hanging="283"/>
      </w:pPr>
      <w:r>
        <w:t xml:space="preserve">Emerged from second wave feminism 1960s/70s – encouraged women to think about their health and bodies differently, and critiqued relationship between women and the medical profession – </w:t>
      </w:r>
      <w:r w:rsidRPr="00C32C02">
        <w:rPr>
          <w:i/>
        </w:rPr>
        <w:t>Our Bodies Ourselves</w:t>
      </w:r>
      <w:r>
        <w:t xml:space="preserve"> (1978).</w:t>
      </w:r>
    </w:p>
    <w:p w:rsidR="00C32C02" w:rsidRPr="00C32C02" w:rsidRDefault="00C32C02" w:rsidP="006A09C0">
      <w:pPr>
        <w:spacing w:after="0"/>
        <w:ind w:left="-851" w:right="-897"/>
        <w:jc w:val="both"/>
        <w:rPr>
          <w:u w:val="single"/>
        </w:rPr>
      </w:pPr>
      <w:r w:rsidRPr="00C32C02">
        <w:rPr>
          <w:u w:val="single"/>
        </w:rPr>
        <w:t>Historiography</w:t>
      </w:r>
    </w:p>
    <w:p w:rsidR="00C32C02" w:rsidRDefault="00C32C02" w:rsidP="006A09C0">
      <w:pPr>
        <w:pStyle w:val="ListParagraph"/>
        <w:numPr>
          <w:ilvl w:val="0"/>
          <w:numId w:val="7"/>
        </w:numPr>
        <w:spacing w:after="0"/>
        <w:ind w:left="-851" w:right="-897"/>
        <w:jc w:val="both"/>
      </w:pPr>
      <w:r>
        <w:t xml:space="preserve">Joan Scott, ‘Gender: A Useful Category of Historical Analysis’, </w:t>
      </w:r>
      <w:r w:rsidRPr="006A09C0">
        <w:rPr>
          <w:i/>
        </w:rPr>
        <w:t>American Historical Review</w:t>
      </w:r>
      <w:r>
        <w:t>, 91 (1986): critiqued interchangeability of ‘women’ and ‘gender’ as terms and argued that ‘gender’ represented a useful analytical category to explore social, cultural and political relations.</w:t>
      </w:r>
    </w:p>
    <w:p w:rsidR="00C32C02" w:rsidRDefault="00C32C02" w:rsidP="006A09C0">
      <w:pPr>
        <w:pStyle w:val="ListParagraph"/>
        <w:numPr>
          <w:ilvl w:val="0"/>
          <w:numId w:val="7"/>
        </w:numPr>
        <w:ind w:left="-851" w:right="-897"/>
        <w:jc w:val="both"/>
      </w:pPr>
      <w:r>
        <w:t>Scholarship has depicted women as being prone to ideologically driven interventions – domesticity, patriarchal society, empire etc. Also demonstrated the ways in which women’s bodies were presented as ‘defining’ of women’s social and cultural functions and roles.</w:t>
      </w:r>
    </w:p>
    <w:p w:rsidR="006A09C0" w:rsidRDefault="00C32C02" w:rsidP="00F47CB9">
      <w:pPr>
        <w:pStyle w:val="ListParagraph"/>
        <w:numPr>
          <w:ilvl w:val="0"/>
          <w:numId w:val="7"/>
        </w:numPr>
        <w:ind w:left="-851" w:right="-897"/>
        <w:jc w:val="both"/>
      </w:pPr>
      <w:r w:rsidRPr="00C32C02">
        <w:t xml:space="preserve">Thomas </w:t>
      </w:r>
      <w:proofErr w:type="spellStart"/>
      <w:r w:rsidRPr="00C32C02">
        <w:t>Laqueur</w:t>
      </w:r>
      <w:proofErr w:type="spellEnd"/>
      <w:r w:rsidRPr="00C32C02">
        <w:t xml:space="preserve">, </w:t>
      </w:r>
      <w:r w:rsidRPr="006A09C0">
        <w:rPr>
          <w:i/>
        </w:rPr>
        <w:t>Making Sex: Body and Gender from the Greeks to Freud</w:t>
      </w:r>
      <w:r w:rsidRPr="00C32C02">
        <w:t xml:space="preserve"> (1989) - one sex/tw</w:t>
      </w:r>
      <w:r w:rsidR="006A09C0">
        <w:t>o sex model.</w:t>
      </w:r>
      <w:bookmarkStart w:id="0" w:name="_GoBack"/>
      <w:bookmarkEnd w:id="0"/>
    </w:p>
    <w:p w:rsidR="00C32C02" w:rsidRDefault="00C32C02" w:rsidP="00F47CB9">
      <w:pPr>
        <w:pStyle w:val="ListParagraph"/>
        <w:numPr>
          <w:ilvl w:val="0"/>
          <w:numId w:val="7"/>
        </w:numPr>
        <w:ind w:left="-851" w:right="-897"/>
        <w:jc w:val="both"/>
      </w:pPr>
      <w:r>
        <w:t>O</w:t>
      </w:r>
      <w:r w:rsidR="006A09C0">
        <w:t>thers argue</w:t>
      </w:r>
      <w:r>
        <w:t xml:space="preserve"> that power relations between men and women are not clear cut and argue that women needed to be given greater ‘agency’ by historians (</w:t>
      </w:r>
      <w:proofErr w:type="spellStart"/>
      <w:r>
        <w:t>Ludmilla</w:t>
      </w:r>
      <w:proofErr w:type="spellEnd"/>
      <w:r>
        <w:t xml:space="preserve"> </w:t>
      </w:r>
      <w:proofErr w:type="spellStart"/>
      <w:r>
        <w:t>Jordanova</w:t>
      </w:r>
      <w:proofErr w:type="spellEnd"/>
      <w:r>
        <w:t>).</w:t>
      </w:r>
    </w:p>
    <w:p w:rsidR="00C7715C" w:rsidRDefault="00C7715C" w:rsidP="006A09C0">
      <w:pPr>
        <w:pStyle w:val="ListParagraph"/>
        <w:ind w:left="-851" w:right="-897"/>
        <w:jc w:val="both"/>
      </w:pPr>
    </w:p>
    <w:p w:rsidR="00C32C02" w:rsidRPr="006A09C0" w:rsidRDefault="00C32C02" w:rsidP="006A09C0">
      <w:pPr>
        <w:pStyle w:val="ListParagraph"/>
        <w:ind w:left="-851" w:right="-897"/>
        <w:jc w:val="both"/>
        <w:rPr>
          <w:u w:val="single"/>
        </w:rPr>
      </w:pPr>
      <w:r w:rsidRPr="006A09C0">
        <w:rPr>
          <w:u w:val="single"/>
        </w:rPr>
        <w:t>Victorian Doctors</w:t>
      </w:r>
    </w:p>
    <w:p w:rsidR="000B354F" w:rsidRDefault="000B354F" w:rsidP="006A09C0">
      <w:pPr>
        <w:pStyle w:val="ListParagraph"/>
        <w:numPr>
          <w:ilvl w:val="0"/>
          <w:numId w:val="8"/>
        </w:numPr>
        <w:ind w:left="-851" w:right="-897"/>
        <w:jc w:val="both"/>
      </w:pPr>
      <w:r>
        <w:t xml:space="preserve">Victorian doctors were very interested in female health. This was not just caused by patriarchal society but also growing professional interest in the ‘diseases of women’, </w:t>
      </w:r>
      <w:r w:rsidR="006A09C0">
        <w:t>specialisation</w:t>
      </w:r>
      <w:r>
        <w:t xml:space="preserve"> of </w:t>
      </w:r>
      <w:r w:rsidR="006A09C0">
        <w:t>obstetrics</w:t>
      </w:r>
      <w:r>
        <w:t xml:space="preserve"> and gynaecology, importance of women as a client group and doctors vested stance on gender difference – connected to female education, women doctors and </w:t>
      </w:r>
      <w:r w:rsidR="006A09C0">
        <w:t>suffrage</w:t>
      </w:r>
      <w:r>
        <w:t xml:space="preserve"> (Anne Digby).</w:t>
      </w:r>
    </w:p>
    <w:p w:rsidR="000B354F" w:rsidRDefault="000B354F" w:rsidP="006A09C0">
      <w:pPr>
        <w:pStyle w:val="ListParagraph"/>
        <w:numPr>
          <w:ilvl w:val="0"/>
          <w:numId w:val="8"/>
        </w:numPr>
        <w:ind w:left="-851" w:right="-897"/>
        <w:jc w:val="both"/>
      </w:pPr>
      <w:r>
        <w:t>Obstetrics and gynaecology presented women’s health as problematic and ‘sickness’ to an extent unavoidable – due to ‘weak’ female nature.</w:t>
      </w:r>
    </w:p>
    <w:p w:rsidR="000B354F" w:rsidRDefault="000B354F" w:rsidP="006A09C0">
      <w:pPr>
        <w:pStyle w:val="ListParagraph"/>
        <w:numPr>
          <w:ilvl w:val="0"/>
          <w:numId w:val="8"/>
        </w:numPr>
        <w:ind w:left="-851" w:right="-897"/>
        <w:jc w:val="both"/>
      </w:pPr>
      <w:r>
        <w:t xml:space="preserve">Female sexuality was </w:t>
      </w:r>
      <w:r w:rsidR="006A09C0">
        <w:t>‘</w:t>
      </w:r>
      <w:proofErr w:type="spellStart"/>
      <w:r>
        <w:t>pathologised</w:t>
      </w:r>
      <w:proofErr w:type="spellEnd"/>
      <w:r w:rsidR="006A09C0">
        <w:t>’</w:t>
      </w:r>
      <w:r>
        <w:t xml:space="preserve">. </w:t>
      </w:r>
      <w:proofErr w:type="spellStart"/>
      <w:r>
        <w:t>Eg</w:t>
      </w:r>
      <w:proofErr w:type="spellEnd"/>
      <w:r>
        <w:t>. Prostitutes presented as a public health problem.</w:t>
      </w:r>
    </w:p>
    <w:p w:rsidR="000B354F" w:rsidRDefault="000B354F" w:rsidP="006A09C0">
      <w:pPr>
        <w:pStyle w:val="ListParagraph"/>
        <w:numPr>
          <w:ilvl w:val="0"/>
          <w:numId w:val="8"/>
        </w:numPr>
        <w:ind w:left="-851" w:right="-897"/>
        <w:jc w:val="both"/>
      </w:pPr>
      <w:r>
        <w:t xml:space="preserve">Female sexuality was </w:t>
      </w:r>
      <w:proofErr w:type="spellStart"/>
      <w:r>
        <w:t>p</w:t>
      </w:r>
      <w:r w:rsidR="006A09C0">
        <w:t>’</w:t>
      </w:r>
      <w:r>
        <w:t>sychiatrised</w:t>
      </w:r>
      <w:proofErr w:type="spellEnd"/>
      <w:r w:rsidR="006A09C0">
        <w:t xml:space="preserve">’. </w:t>
      </w:r>
      <w:proofErr w:type="spellStart"/>
      <w:r w:rsidR="006A09C0">
        <w:t>Eg</w:t>
      </w:r>
      <w:proofErr w:type="spellEnd"/>
      <w:r w:rsidR="006A09C0">
        <w:t>.</w:t>
      </w:r>
      <w:r>
        <w:t xml:space="preserve"> unruly women were presented as being mentally unstable and sexual behaviour was linked to diagnosis. Hysteria = female sexual arousal; Mania = overtly sexual behaviour.</w:t>
      </w:r>
    </w:p>
    <w:p w:rsidR="000B354F" w:rsidRDefault="000B354F" w:rsidP="006A09C0">
      <w:pPr>
        <w:pStyle w:val="ListParagraph"/>
        <w:numPr>
          <w:ilvl w:val="0"/>
          <w:numId w:val="8"/>
        </w:numPr>
        <w:ind w:left="-851" w:right="-897"/>
        <w:jc w:val="both"/>
      </w:pPr>
      <w:r>
        <w:t xml:space="preserve">Recent research suggests that gender played less of a role in psychiatric diagnosis that has been previously suggested - </w:t>
      </w:r>
      <w:r w:rsidRPr="000B354F">
        <w:t xml:space="preserve">e.g. Akihito Suzuki, Mark </w:t>
      </w:r>
      <w:proofErr w:type="spellStart"/>
      <w:r w:rsidRPr="000B354F">
        <w:t>Micale</w:t>
      </w:r>
      <w:proofErr w:type="spellEnd"/>
      <w:r w:rsidRPr="000B354F">
        <w:t xml:space="preserve">, John </w:t>
      </w:r>
      <w:proofErr w:type="spellStart"/>
      <w:r w:rsidRPr="000B354F">
        <w:t>Starrett</w:t>
      </w:r>
      <w:proofErr w:type="spellEnd"/>
      <w:r w:rsidRPr="000B354F">
        <w:t xml:space="preserve"> Hughes, Martin Stone</w:t>
      </w:r>
      <w:r>
        <w:t>.</w:t>
      </w:r>
    </w:p>
    <w:p w:rsidR="000B354F" w:rsidRPr="006A09C0" w:rsidRDefault="000B354F" w:rsidP="006A09C0">
      <w:pPr>
        <w:spacing w:after="0"/>
        <w:ind w:left="-851" w:right="-897"/>
        <w:jc w:val="both"/>
        <w:rPr>
          <w:u w:val="single"/>
        </w:rPr>
      </w:pPr>
      <w:r w:rsidRPr="006A09C0">
        <w:rPr>
          <w:u w:val="single"/>
        </w:rPr>
        <w:t>Female ‘Diseases’</w:t>
      </w:r>
    </w:p>
    <w:p w:rsidR="000B354F" w:rsidRDefault="000B354F" w:rsidP="006A09C0">
      <w:pPr>
        <w:pStyle w:val="ListParagraph"/>
        <w:numPr>
          <w:ilvl w:val="0"/>
          <w:numId w:val="9"/>
        </w:numPr>
        <w:spacing w:after="0"/>
        <w:ind w:left="-851" w:right="-897"/>
        <w:jc w:val="both"/>
      </w:pPr>
      <w:r>
        <w:t xml:space="preserve">Puerperal insanity (postnatal depression) first defined by Robert Gooch in 1820 – accounted for 10% of admissions into </w:t>
      </w:r>
      <w:r w:rsidR="006A09C0">
        <w:t>asylums</w:t>
      </w:r>
      <w:r>
        <w:t xml:space="preserve">. Seen as being likely to reoccur – linked to biology, strains of childbirth, worries about motherhood, poverty and domestic problems. See Hilary </w:t>
      </w:r>
      <w:proofErr w:type="spellStart"/>
      <w:r>
        <w:t>Marland</w:t>
      </w:r>
      <w:proofErr w:type="spellEnd"/>
      <w:r>
        <w:t xml:space="preserve">, </w:t>
      </w:r>
      <w:r w:rsidRPr="006A09C0">
        <w:rPr>
          <w:i/>
        </w:rPr>
        <w:t xml:space="preserve">Dangerous Motherhood: </w:t>
      </w:r>
      <w:r w:rsidR="006A09C0" w:rsidRPr="006A09C0">
        <w:rPr>
          <w:i/>
        </w:rPr>
        <w:t>Insanity</w:t>
      </w:r>
      <w:r w:rsidRPr="006A09C0">
        <w:rPr>
          <w:i/>
        </w:rPr>
        <w:t xml:space="preserve"> and Childbirth in Victorian Britain</w:t>
      </w:r>
      <w:r>
        <w:t xml:space="preserve"> (2004).</w:t>
      </w:r>
    </w:p>
    <w:p w:rsidR="000B354F" w:rsidRDefault="000B354F" w:rsidP="006A09C0">
      <w:pPr>
        <w:pStyle w:val="ListParagraph"/>
        <w:numPr>
          <w:ilvl w:val="0"/>
          <w:numId w:val="9"/>
        </w:numPr>
        <w:ind w:left="-851" w:right="-897"/>
        <w:jc w:val="both"/>
      </w:pPr>
      <w:r>
        <w:t xml:space="preserve">Hysteria – epidemic in the Victorian period. Had a </w:t>
      </w:r>
      <w:r w:rsidR="006A09C0">
        <w:t>variety</w:t>
      </w:r>
      <w:r>
        <w:t xml:space="preserve"> of ‘social’ and medical causes linked to over work and education. Some suggestion it was used a form of protest against patriarchy.</w:t>
      </w:r>
    </w:p>
    <w:p w:rsidR="000B354F" w:rsidRPr="006A09C0" w:rsidRDefault="000B354F" w:rsidP="006A09C0">
      <w:pPr>
        <w:spacing w:after="0"/>
        <w:ind w:left="-851" w:right="-897"/>
        <w:jc w:val="both"/>
        <w:rPr>
          <w:u w:val="single"/>
        </w:rPr>
      </w:pPr>
      <w:r w:rsidRPr="006A09C0">
        <w:rPr>
          <w:u w:val="single"/>
        </w:rPr>
        <w:t>Women’s Health in the 20</w:t>
      </w:r>
      <w:r w:rsidRPr="006A09C0">
        <w:rPr>
          <w:u w:val="single"/>
          <w:vertAlign w:val="superscript"/>
        </w:rPr>
        <w:t>th</w:t>
      </w:r>
      <w:r w:rsidRPr="006A09C0">
        <w:rPr>
          <w:u w:val="single"/>
        </w:rPr>
        <w:t xml:space="preserve"> century</w:t>
      </w:r>
    </w:p>
    <w:p w:rsidR="000B354F" w:rsidRDefault="006A09C0" w:rsidP="006A09C0">
      <w:pPr>
        <w:pStyle w:val="ListParagraph"/>
        <w:numPr>
          <w:ilvl w:val="0"/>
          <w:numId w:val="10"/>
        </w:numPr>
        <w:ind w:left="-851" w:right="-897"/>
        <w:jc w:val="both"/>
      </w:pPr>
      <w:r>
        <w:t xml:space="preserve">Interwar – Medical Research Council (1924) found poverty and family ill-health was product of the ‘failure of mothers’. Report on Maternal Morbidity in Scotland (1935) found 57% of antenatal deaths were caused by women not attending clinics and not following advice.  </w:t>
      </w:r>
      <w:r w:rsidRPr="006A09C0">
        <w:rPr>
          <w:b/>
        </w:rPr>
        <w:t>BUT</w:t>
      </w:r>
      <w:r>
        <w:t xml:space="preserve"> Women’s Health Inquiry Committee found that enormous amount of ill health was hidden among married women – recommended higher wages, better social service provision for children, family allowances, improved maternal health services, extension of National Insurance to women.</w:t>
      </w:r>
    </w:p>
    <w:p w:rsidR="006A09C0" w:rsidRPr="00C7715C" w:rsidRDefault="006A09C0" w:rsidP="006A09C0">
      <w:pPr>
        <w:pStyle w:val="ListParagraph"/>
        <w:numPr>
          <w:ilvl w:val="0"/>
          <w:numId w:val="10"/>
        </w:numPr>
        <w:ind w:left="-851" w:right="-897"/>
        <w:jc w:val="both"/>
      </w:pPr>
      <w:r>
        <w:t xml:space="preserve">World War 2 and NHS – 1945 Family Allowances were introduced and women’s access to care improved although there were still inequalities caused by gender, class, locale and ethnicity (Roberta </w:t>
      </w:r>
      <w:proofErr w:type="spellStart"/>
      <w:r>
        <w:t>Bivins</w:t>
      </w:r>
      <w:proofErr w:type="spellEnd"/>
      <w:r>
        <w:t xml:space="preserve">, </w:t>
      </w:r>
      <w:r w:rsidRPr="006A09C0">
        <w:rPr>
          <w:i/>
        </w:rPr>
        <w:t>Contagious Communities: Medicine, Migration, and the NHS in Post War Britain</w:t>
      </w:r>
      <w:r>
        <w:t xml:space="preserve"> (2015).</w:t>
      </w:r>
    </w:p>
    <w:sectPr w:rsidR="006A09C0" w:rsidRPr="00C771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01689"/>
    <w:multiLevelType w:val="hybridMultilevel"/>
    <w:tmpl w:val="6054D8EC"/>
    <w:lvl w:ilvl="0" w:tplc="0809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" w15:restartNumberingAfterBreak="0">
    <w:nsid w:val="11522932"/>
    <w:multiLevelType w:val="hybridMultilevel"/>
    <w:tmpl w:val="48CE70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53061"/>
    <w:multiLevelType w:val="hybridMultilevel"/>
    <w:tmpl w:val="6636B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CB27F8"/>
    <w:multiLevelType w:val="hybridMultilevel"/>
    <w:tmpl w:val="230E23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43E80"/>
    <w:multiLevelType w:val="hybridMultilevel"/>
    <w:tmpl w:val="E91674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306301B"/>
    <w:multiLevelType w:val="hybridMultilevel"/>
    <w:tmpl w:val="54EE9F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EB6DF1"/>
    <w:multiLevelType w:val="hybridMultilevel"/>
    <w:tmpl w:val="EA2062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582266"/>
    <w:multiLevelType w:val="hybridMultilevel"/>
    <w:tmpl w:val="D8EC6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0A228E"/>
    <w:multiLevelType w:val="hybridMultilevel"/>
    <w:tmpl w:val="C65079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B5C19"/>
    <w:multiLevelType w:val="hybridMultilevel"/>
    <w:tmpl w:val="C638E0A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BFB2E87"/>
    <w:multiLevelType w:val="hybridMultilevel"/>
    <w:tmpl w:val="77E2B4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6"/>
  </w:num>
  <w:num w:numId="5">
    <w:abstractNumId w:val="2"/>
  </w:num>
  <w:num w:numId="6">
    <w:abstractNumId w:val="0"/>
  </w:num>
  <w:num w:numId="7">
    <w:abstractNumId w:val="3"/>
  </w:num>
  <w:num w:numId="8">
    <w:abstractNumId w:val="8"/>
  </w:num>
  <w:num w:numId="9">
    <w:abstractNumId w:val="1"/>
  </w:num>
  <w:num w:numId="10">
    <w:abstractNumId w:val="7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77D"/>
    <w:rsid w:val="000B354F"/>
    <w:rsid w:val="00114700"/>
    <w:rsid w:val="00116F57"/>
    <w:rsid w:val="00220CC5"/>
    <w:rsid w:val="004A3FD3"/>
    <w:rsid w:val="006A09C0"/>
    <w:rsid w:val="007F177D"/>
    <w:rsid w:val="00C04B93"/>
    <w:rsid w:val="00C32C02"/>
    <w:rsid w:val="00C7715C"/>
    <w:rsid w:val="00E94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BD6E4"/>
  <w15:chartTrackingRefBased/>
  <w15:docId w15:val="{9FC988C5-D481-497F-BD3C-236E8661E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177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F17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7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2</cp:revision>
  <dcterms:created xsi:type="dcterms:W3CDTF">2016-01-25T11:52:00Z</dcterms:created>
  <dcterms:modified xsi:type="dcterms:W3CDTF">2016-01-25T11:52:00Z</dcterms:modified>
</cp:coreProperties>
</file>