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71F457" w14:textId="67B907D7" w:rsidR="00C75418" w:rsidRDefault="00C75418" w:rsidP="00C75418">
      <w:pPr>
        <w:rPr>
          <w:b/>
          <w:bCs/>
          <w:u w:val="single"/>
          <w:lang w:val="de-DE"/>
        </w:rPr>
      </w:pPr>
      <w:r>
        <w:rPr>
          <w:b/>
          <w:bCs/>
          <w:u w:val="single"/>
          <w:lang w:val="de-DE"/>
        </w:rPr>
        <w:t>Essays</w:t>
      </w:r>
    </w:p>
    <w:p w14:paraId="406EB85E" w14:textId="77777777" w:rsidR="00C75418" w:rsidRDefault="00C75418" w:rsidP="00C75418">
      <w:pPr>
        <w:rPr>
          <w:b/>
          <w:bCs/>
          <w:u w:val="single"/>
          <w:lang w:val="de-DE"/>
        </w:rPr>
      </w:pPr>
    </w:p>
    <w:p w14:paraId="60A771CC" w14:textId="12C58F5B" w:rsidR="00C75418" w:rsidRPr="00F15319" w:rsidRDefault="00C75418" w:rsidP="00C75418">
      <w:pPr>
        <w:rPr>
          <w:b/>
          <w:bCs/>
          <w:lang w:val="de-DE"/>
        </w:rPr>
      </w:pPr>
      <w:r w:rsidRPr="00F15319">
        <w:rPr>
          <w:b/>
          <w:bCs/>
          <w:lang w:val="de-DE"/>
        </w:rPr>
        <w:t>Researching for Essays:</w:t>
      </w:r>
    </w:p>
    <w:p w14:paraId="32DBC46E" w14:textId="7D3CA33A" w:rsidR="00C75418" w:rsidRPr="000A64FA" w:rsidRDefault="00C75418" w:rsidP="00C75418">
      <w:pPr>
        <w:rPr>
          <w:bCs/>
          <w:lang w:val="de-DE"/>
        </w:rPr>
      </w:pPr>
      <w:r w:rsidRPr="000A64FA">
        <w:rPr>
          <w:bCs/>
          <w:lang w:val="de-DE"/>
        </w:rPr>
        <w:t>Start with the suggested reading list.</w:t>
      </w:r>
    </w:p>
    <w:p w14:paraId="411CE69F" w14:textId="77777777" w:rsidR="00C75418" w:rsidRPr="000A64FA" w:rsidRDefault="00C75418" w:rsidP="00C75418">
      <w:pPr>
        <w:rPr>
          <w:bCs/>
          <w:lang w:val="de-DE"/>
        </w:rPr>
      </w:pPr>
      <w:r w:rsidRPr="000A64FA">
        <w:rPr>
          <w:bCs/>
          <w:lang w:val="de-DE"/>
        </w:rPr>
        <w:t>Secondary Sources: Textbooks/ General histories</w:t>
      </w:r>
      <w:r>
        <w:rPr>
          <w:bCs/>
          <w:lang w:val="de-DE"/>
        </w:rPr>
        <w:t xml:space="preserve"> (eg. </w:t>
      </w:r>
      <w:r>
        <w:rPr>
          <w:bCs/>
          <w:i/>
          <w:lang w:val="de-DE"/>
        </w:rPr>
        <w:t>Mexico’s Once and Future Revolution</w:t>
      </w:r>
      <w:r>
        <w:rPr>
          <w:bCs/>
          <w:lang w:val="de-DE"/>
        </w:rPr>
        <w:t>)</w:t>
      </w:r>
      <w:r w:rsidRPr="000A64FA">
        <w:rPr>
          <w:bCs/>
          <w:lang w:val="de-DE"/>
        </w:rPr>
        <w:t>, Monographs</w:t>
      </w:r>
      <w:r>
        <w:rPr>
          <w:bCs/>
          <w:lang w:val="de-DE"/>
        </w:rPr>
        <w:t xml:space="preserve"> (like Knight‘s </w:t>
      </w:r>
      <w:r>
        <w:rPr>
          <w:bCs/>
          <w:i/>
          <w:lang w:val="de-DE"/>
        </w:rPr>
        <w:t>The Mexican Revolution</w:t>
      </w:r>
      <w:r>
        <w:rPr>
          <w:bCs/>
          <w:lang w:val="de-DE"/>
        </w:rPr>
        <w:t>)</w:t>
      </w:r>
      <w:r w:rsidRPr="000A64FA">
        <w:rPr>
          <w:bCs/>
          <w:lang w:val="de-DE"/>
        </w:rPr>
        <w:t>, Journal Articles, Edited Volumes</w:t>
      </w:r>
      <w:r>
        <w:rPr>
          <w:bCs/>
          <w:lang w:val="de-DE"/>
        </w:rPr>
        <w:t xml:space="preserve"> (Like, </w:t>
      </w:r>
      <w:r>
        <w:rPr>
          <w:bCs/>
          <w:i/>
          <w:lang w:val="de-DE"/>
        </w:rPr>
        <w:t>Dictablanda</w:t>
      </w:r>
      <w:r>
        <w:rPr>
          <w:bCs/>
          <w:lang w:val="de-DE"/>
        </w:rPr>
        <w:t>)</w:t>
      </w:r>
      <w:r w:rsidRPr="000A64FA">
        <w:rPr>
          <w:bCs/>
          <w:lang w:val="de-DE"/>
        </w:rPr>
        <w:t>, Other Writings e.g Online</w:t>
      </w:r>
      <w:r>
        <w:rPr>
          <w:bCs/>
          <w:lang w:val="de-DE"/>
        </w:rPr>
        <w:t xml:space="preserve"> (.ac websites, also LANIC, National Security Archives.)</w:t>
      </w:r>
    </w:p>
    <w:p w14:paraId="383F7FD4" w14:textId="4344C389" w:rsidR="00C75418" w:rsidRPr="000A64FA" w:rsidRDefault="00C75418" w:rsidP="00C75418">
      <w:pPr>
        <w:rPr>
          <w:bCs/>
          <w:lang w:val="de-DE"/>
        </w:rPr>
      </w:pPr>
      <w:r w:rsidRPr="000A64FA">
        <w:rPr>
          <w:bCs/>
          <w:lang w:val="de-DE"/>
        </w:rPr>
        <w:t>Review articles and articles on histroiogrphy</w:t>
      </w:r>
      <w:r>
        <w:rPr>
          <w:bCs/>
          <w:lang w:val="de-DE"/>
        </w:rPr>
        <w:t>.</w:t>
      </w:r>
    </w:p>
    <w:p w14:paraId="6491AA72" w14:textId="400E3CBB" w:rsidR="00C75418" w:rsidRDefault="00C75418" w:rsidP="00C75418">
      <w:pPr>
        <w:rPr>
          <w:bCs/>
          <w:lang w:val="de-DE"/>
        </w:rPr>
      </w:pPr>
      <w:r>
        <w:rPr>
          <w:bCs/>
          <w:lang w:val="de-DE"/>
        </w:rPr>
        <w:t>Primary Sources: Edit</w:t>
      </w:r>
      <w:r w:rsidRPr="000A64FA">
        <w:rPr>
          <w:bCs/>
          <w:lang w:val="de-DE"/>
        </w:rPr>
        <w:t>ed collections</w:t>
      </w:r>
      <w:r>
        <w:rPr>
          <w:bCs/>
          <w:lang w:val="de-DE"/>
        </w:rPr>
        <w:t xml:space="preserve"> of primary sources (like </w:t>
      </w:r>
      <w:r>
        <w:rPr>
          <w:bCs/>
          <w:i/>
          <w:lang w:val="de-DE"/>
        </w:rPr>
        <w:t>The Mexico Reader</w:t>
      </w:r>
      <w:r w:rsidRPr="000A64FA">
        <w:rPr>
          <w:bCs/>
          <w:lang w:val="de-DE"/>
        </w:rPr>
        <w:t>). They have useful introductions to the sources.</w:t>
      </w:r>
    </w:p>
    <w:p w14:paraId="1F2559EA" w14:textId="6D84069D" w:rsidR="00C75418" w:rsidRDefault="00C75418" w:rsidP="00C75418">
      <w:pPr>
        <w:rPr>
          <w:bCs/>
          <w:lang w:val="de-DE"/>
        </w:rPr>
      </w:pPr>
      <w:r>
        <w:rPr>
          <w:bCs/>
          <w:lang w:val="de-DE"/>
        </w:rPr>
        <w:t>Start broad, dig deep, remember historiography. In essays, cite less from general textbooks. Identify the main arguments from the other secondary sources. Use primary sources to support your arguments.</w:t>
      </w:r>
    </w:p>
    <w:p w14:paraId="7CFE9730" w14:textId="77777777" w:rsidR="00C75418" w:rsidRPr="000A64FA" w:rsidRDefault="00C75418" w:rsidP="00C75418">
      <w:pPr>
        <w:rPr>
          <w:bCs/>
          <w:lang w:val="de-DE"/>
        </w:rPr>
      </w:pPr>
    </w:p>
    <w:p w14:paraId="76F7374D" w14:textId="77777777" w:rsidR="00C75418" w:rsidRPr="0058123A" w:rsidRDefault="00C75418" w:rsidP="00C75418">
      <w:pPr>
        <w:rPr>
          <w:b/>
          <w:bCs/>
          <w:lang w:val="de-DE"/>
        </w:rPr>
      </w:pPr>
      <w:r w:rsidRPr="0058123A">
        <w:rPr>
          <w:b/>
          <w:bCs/>
          <w:lang w:val="de-DE"/>
        </w:rPr>
        <w:t>Essays: What makes a good essay? Argument, Evidence, Argument.</w:t>
      </w:r>
    </w:p>
    <w:p w14:paraId="05118840" w14:textId="77777777" w:rsidR="00C75418" w:rsidRDefault="00C75418" w:rsidP="00C75418">
      <w:pPr>
        <w:jc w:val="both"/>
      </w:pPr>
      <w:r w:rsidRPr="000F7D1A">
        <w:rPr>
          <w:lang w:val="de-DE"/>
        </w:rPr>
        <w:t>Set up a historical problem: what remains unresolved, highly debated, or unknown about the topic you intend to discuss?</w:t>
      </w:r>
      <w:r>
        <w:t xml:space="preserve"> </w:t>
      </w:r>
      <w:r w:rsidRPr="000F7D1A">
        <w:rPr>
          <w:lang w:val="de-DE"/>
        </w:rPr>
        <w:t xml:space="preserve">If </w:t>
      </w:r>
      <w:r w:rsidRPr="000F7D1A">
        <w:t>‘an argument is something someone could reasonably disagree with,’ what will your argument be?</w:t>
      </w:r>
      <w:r>
        <w:t xml:space="preserve"> </w:t>
      </w:r>
      <w:r w:rsidRPr="000F7D1A">
        <w:t xml:space="preserve">State your argument as clearly as possible at the beginning of your essay. This is </w:t>
      </w:r>
      <w:proofErr w:type="gramStart"/>
      <w:r w:rsidRPr="000F7D1A">
        <w:t>you</w:t>
      </w:r>
      <w:proofErr w:type="gramEnd"/>
      <w:r w:rsidRPr="000F7D1A">
        <w:t xml:space="preserve"> ‘thesis statement’</w:t>
      </w:r>
      <w:r>
        <w:t xml:space="preserve"> Consider the length of the essay, the kind of evidence you need to support your argument and the time you have</w:t>
      </w:r>
    </w:p>
    <w:p w14:paraId="0CA4BBB8" w14:textId="77777777" w:rsidR="00C75418" w:rsidRPr="00B8101A" w:rsidRDefault="00C75418" w:rsidP="00C75418">
      <w:pPr>
        <w:jc w:val="both"/>
      </w:pPr>
    </w:p>
    <w:p w14:paraId="26C24BBA" w14:textId="77777777" w:rsidR="00C75418" w:rsidRDefault="00C75418" w:rsidP="00C75418">
      <w:pPr>
        <w:rPr>
          <w:b/>
        </w:rPr>
      </w:pPr>
      <w:r>
        <w:rPr>
          <w:b/>
        </w:rPr>
        <w:t>Evidence</w:t>
      </w:r>
    </w:p>
    <w:p w14:paraId="06DFD5CC" w14:textId="77777777" w:rsidR="00C75418" w:rsidRDefault="00C75418" w:rsidP="00C75418">
      <w:r>
        <w:t>What evidence will you use to support your argument?</w:t>
      </w:r>
    </w:p>
    <w:p w14:paraId="5419A190" w14:textId="77777777" w:rsidR="00C75418" w:rsidRDefault="00C75418" w:rsidP="00C75418">
      <w:r>
        <w:t>From secondary sources: Start with recent research and suggested readings. How will you identify the key arguments? How will you find sources beyond the reading list?</w:t>
      </w:r>
    </w:p>
    <w:p w14:paraId="765802D3" w14:textId="77777777" w:rsidR="00C75418" w:rsidRDefault="00C75418" w:rsidP="00C75418">
      <w:r>
        <w:t xml:space="preserve">From primary sources: </w:t>
      </w:r>
      <w:proofErr w:type="spellStart"/>
      <w:r>
        <w:t>Summarise</w:t>
      </w:r>
      <w:proofErr w:type="spellEnd"/>
      <w:r>
        <w:t xml:space="preserve"> the source. Consider the type of source. What are its limitations? What can it tell us and what can’t it tell us? How will you use it in relation to your argument?</w:t>
      </w:r>
    </w:p>
    <w:p w14:paraId="29715FF9" w14:textId="77777777" w:rsidR="00C75418" w:rsidRPr="00B83359" w:rsidRDefault="00C75418" w:rsidP="00C75418"/>
    <w:p w14:paraId="7D7BAF17" w14:textId="77777777" w:rsidR="00C75418" w:rsidRDefault="00C75418" w:rsidP="00C75418">
      <w:pPr>
        <w:rPr>
          <w:b/>
          <w:bCs/>
        </w:rPr>
      </w:pPr>
      <w:r w:rsidRPr="000F7D1A">
        <w:rPr>
          <w:b/>
          <w:bCs/>
        </w:rPr>
        <w:t>Structure</w:t>
      </w:r>
    </w:p>
    <w:p w14:paraId="0CF90B2E" w14:textId="77777777" w:rsidR="00C75418" w:rsidRDefault="00C75418" w:rsidP="00C75418">
      <w:pPr>
        <w:rPr>
          <w:bCs/>
        </w:rPr>
      </w:pPr>
      <w:r w:rsidRPr="008906BA">
        <w:rPr>
          <w:bCs/>
          <w:u w:val="single"/>
        </w:rPr>
        <w:t>Introductions and Conclusions:</w:t>
      </w:r>
      <w:r>
        <w:rPr>
          <w:bCs/>
        </w:rPr>
        <w:t xml:space="preserve"> Your introduction should say what you will argue (thesis statement) and how a map of the essay or overview of the argument. Your conclusion should review the points you have made during the essay. </w:t>
      </w:r>
    </w:p>
    <w:p w14:paraId="492EA712" w14:textId="72A3D240" w:rsidR="00C75418" w:rsidRDefault="00C75418" w:rsidP="00C75418">
      <w:pPr>
        <w:rPr>
          <w:bCs/>
        </w:rPr>
      </w:pPr>
      <w:r w:rsidRPr="008906BA">
        <w:rPr>
          <w:bCs/>
          <w:u w:val="single"/>
        </w:rPr>
        <w:t>In the main body:</w:t>
      </w:r>
      <w:r>
        <w:rPr>
          <w:bCs/>
        </w:rPr>
        <w:t xml:space="preserve"> S</w:t>
      </w:r>
      <w:r w:rsidRPr="00B8101A">
        <w:rPr>
          <w:bCs/>
        </w:rPr>
        <w:t xml:space="preserve">tart each paragraph with a sentence that introduces and defines the content of that paragraph a ‘topic </w:t>
      </w:r>
      <w:proofErr w:type="gramStart"/>
      <w:r w:rsidRPr="00B8101A">
        <w:rPr>
          <w:bCs/>
        </w:rPr>
        <w:t>sentence‘</w:t>
      </w:r>
      <w:proofErr w:type="gramEnd"/>
      <w:r>
        <w:rPr>
          <w:bCs/>
        </w:rPr>
        <w:t xml:space="preserve">. </w:t>
      </w:r>
      <w:r w:rsidRPr="00B8101A">
        <w:rPr>
          <w:bCs/>
        </w:rPr>
        <w:t>Topic sentences should reflect how your argument proceeds, step by step</w:t>
      </w:r>
      <w:r>
        <w:rPr>
          <w:bCs/>
        </w:rPr>
        <w:t xml:space="preserve">. </w:t>
      </w:r>
      <w:proofErr w:type="gramStart"/>
      <w:r w:rsidRPr="00B8101A">
        <w:rPr>
          <w:bCs/>
        </w:rPr>
        <w:t>So</w:t>
      </w:r>
      <w:proofErr w:type="gramEnd"/>
      <w:r w:rsidRPr="00B8101A">
        <w:rPr>
          <w:bCs/>
        </w:rPr>
        <w:t xml:space="preserve"> a paragraph structure might be: topic sentence – evidence to support it – analysis of the evidence – transition to the next point.</w:t>
      </w:r>
    </w:p>
    <w:p w14:paraId="11C5D4DE" w14:textId="77777777" w:rsidR="00C75418" w:rsidRPr="00B8101A" w:rsidRDefault="00C75418" w:rsidP="00C75418">
      <w:pPr>
        <w:rPr>
          <w:bCs/>
        </w:rPr>
      </w:pPr>
    </w:p>
    <w:p w14:paraId="1DCC42B2" w14:textId="77777777" w:rsidR="00C75418" w:rsidRDefault="00C75418" w:rsidP="00C75418">
      <w:pPr>
        <w:rPr>
          <w:b/>
          <w:bCs/>
        </w:rPr>
      </w:pPr>
      <w:r w:rsidRPr="000F7D1A">
        <w:rPr>
          <w:b/>
          <w:bCs/>
        </w:rPr>
        <w:t>Clarity</w:t>
      </w:r>
      <w:r>
        <w:rPr>
          <w:b/>
          <w:bCs/>
        </w:rPr>
        <w:t xml:space="preserve"> of Writing</w:t>
      </w:r>
    </w:p>
    <w:p w14:paraId="40276262" w14:textId="77777777" w:rsidR="00C75418" w:rsidRDefault="00C75418" w:rsidP="00C75418">
      <w:pPr>
        <w:rPr>
          <w:bCs/>
        </w:rPr>
      </w:pPr>
      <w:r>
        <w:rPr>
          <w:bCs/>
        </w:rPr>
        <w:t xml:space="preserve">Be concise and to the point. The functions of sentences should </w:t>
      </w:r>
      <w:proofErr w:type="gramStart"/>
      <w:r>
        <w:rPr>
          <w:bCs/>
        </w:rPr>
        <w:t>be:</w:t>
      </w:r>
      <w:proofErr w:type="gramEnd"/>
      <w:r>
        <w:rPr>
          <w:bCs/>
        </w:rPr>
        <w:t xml:space="preserve"> topic sentences, engaging with the historiography sentences, advancing your argument sentences, supporting evidence sentences, or conclusions. Avoid long, complicated sentences. </w:t>
      </w:r>
      <w:proofErr w:type="spellStart"/>
      <w:r>
        <w:rPr>
          <w:bCs/>
        </w:rPr>
        <w:t>Generalisations</w:t>
      </w:r>
      <w:proofErr w:type="spellEnd"/>
      <w:r>
        <w:rPr>
          <w:bCs/>
        </w:rPr>
        <w:t xml:space="preserve"> like ‘historians argue’. Get on with your argument rather than writing ‘it could be argued’. Repetitions of words and ideas. Long, direct quotes and pseudo-paraphrasing.</w:t>
      </w:r>
    </w:p>
    <w:p w14:paraId="30690EAD" w14:textId="77777777" w:rsidR="00C75418" w:rsidRDefault="00C75418" w:rsidP="00C14F2B">
      <w:pPr>
        <w:jc w:val="center"/>
        <w:rPr>
          <w:b/>
          <w:bCs/>
          <w:sz w:val="32"/>
          <w:szCs w:val="32"/>
        </w:rPr>
      </w:pPr>
    </w:p>
    <w:p w14:paraId="6B45B258" w14:textId="438A6C49" w:rsidR="00C14F2B" w:rsidRPr="00C14F2B" w:rsidRDefault="00C14F2B" w:rsidP="00C14F2B">
      <w:pPr>
        <w:jc w:val="center"/>
        <w:rPr>
          <w:b/>
          <w:bCs/>
          <w:sz w:val="32"/>
          <w:szCs w:val="32"/>
        </w:rPr>
      </w:pPr>
      <w:r w:rsidRPr="00C14F2B">
        <w:rPr>
          <w:b/>
          <w:bCs/>
          <w:sz w:val="32"/>
          <w:szCs w:val="32"/>
        </w:rPr>
        <w:t>Essay Writing: Some common problems and some solutions</w:t>
      </w:r>
    </w:p>
    <w:p w14:paraId="29A4B6ED" w14:textId="2F0A7A71" w:rsidR="00C14F2B" w:rsidRDefault="00C14F2B"/>
    <w:tbl>
      <w:tblPr>
        <w:tblStyle w:val="TableGrid"/>
        <w:tblW w:w="0" w:type="auto"/>
        <w:tblLayout w:type="fixed"/>
        <w:tblLook w:val="04A0" w:firstRow="1" w:lastRow="0" w:firstColumn="1" w:lastColumn="0" w:noHBand="0" w:noVBand="1"/>
      </w:tblPr>
      <w:tblGrid>
        <w:gridCol w:w="2695"/>
        <w:gridCol w:w="6655"/>
      </w:tblGrid>
      <w:tr w:rsidR="00C14F2B" w14:paraId="1B634268" w14:textId="77777777" w:rsidTr="00C14F2B">
        <w:tc>
          <w:tcPr>
            <w:tcW w:w="2695" w:type="dxa"/>
          </w:tcPr>
          <w:p w14:paraId="4E9D1F98" w14:textId="7E58AE9F" w:rsidR="00C14F2B" w:rsidRPr="00C14F2B" w:rsidRDefault="00C14F2B" w:rsidP="00C14F2B">
            <w:pPr>
              <w:pStyle w:val="ListParagraph"/>
              <w:numPr>
                <w:ilvl w:val="0"/>
                <w:numId w:val="1"/>
              </w:numPr>
              <w:rPr>
                <w:b/>
                <w:bCs/>
              </w:rPr>
            </w:pPr>
            <w:r w:rsidRPr="00C14F2B">
              <w:rPr>
                <w:b/>
                <w:bCs/>
              </w:rPr>
              <w:t>Pretentious overuse of adjectives</w:t>
            </w:r>
            <w:r>
              <w:rPr>
                <w:b/>
                <w:bCs/>
              </w:rPr>
              <w:t>/over</w:t>
            </w:r>
            <w:r w:rsidR="007D4FEE">
              <w:rPr>
                <w:b/>
                <w:bCs/>
              </w:rPr>
              <w:t>e</w:t>
            </w:r>
            <w:r>
              <w:rPr>
                <w:b/>
                <w:bCs/>
              </w:rPr>
              <w:t>mployment of thesaurus</w:t>
            </w:r>
          </w:p>
        </w:tc>
        <w:tc>
          <w:tcPr>
            <w:tcW w:w="6655" w:type="dxa"/>
          </w:tcPr>
          <w:p w14:paraId="6BF80125" w14:textId="77777777" w:rsidR="00C14F2B" w:rsidRDefault="00C14F2B" w:rsidP="00C14F2B">
            <w:pPr>
              <w:contextualSpacing/>
            </w:pPr>
            <w:r>
              <w:t xml:space="preserve">Between April 1846 and February 1848, Mexico and the </w:t>
            </w:r>
            <w:proofErr w:type="spellStart"/>
            <w:r w:rsidRPr="00C14F2B">
              <w:rPr>
                <w:b/>
                <w:bCs/>
              </w:rPr>
              <w:t>neighbouring</w:t>
            </w:r>
            <w:proofErr w:type="spellEnd"/>
            <w:r w:rsidRPr="00C14F2B">
              <w:rPr>
                <w:b/>
                <w:bCs/>
              </w:rPr>
              <w:t xml:space="preserve"> </w:t>
            </w:r>
            <w:r>
              <w:t xml:space="preserve">United States would engage in a prolonged and vicious war of attrition to decide the fate of Mexico’s </w:t>
            </w:r>
            <w:r w:rsidRPr="00C14F2B">
              <w:rPr>
                <w:b/>
                <w:bCs/>
              </w:rPr>
              <w:t xml:space="preserve">northernmost </w:t>
            </w:r>
            <w:r>
              <w:t xml:space="preserve">territories. The </w:t>
            </w:r>
            <w:r w:rsidRPr="00C14F2B">
              <w:rPr>
                <w:b/>
                <w:bCs/>
              </w:rPr>
              <w:t xml:space="preserve">dominant </w:t>
            </w:r>
            <w:r>
              <w:t xml:space="preserve">victory of the </w:t>
            </w:r>
            <w:r w:rsidRPr="00C14F2B">
              <w:rPr>
                <w:b/>
                <w:bCs/>
              </w:rPr>
              <w:t xml:space="preserve">infant </w:t>
            </w:r>
            <w:r>
              <w:t xml:space="preserve">United States forever bolstered its geographical, economic and military status as an emerging nation, but also established a precedent of colonial expansionism (both physical and ideological) which would facilitate its transition into the globe’s predominant </w:t>
            </w:r>
            <w:r w:rsidRPr="00C14F2B">
              <w:rPr>
                <w:b/>
                <w:bCs/>
              </w:rPr>
              <w:t xml:space="preserve">cultural </w:t>
            </w:r>
            <w:r>
              <w:t xml:space="preserve">force. In contrast, Mexico’s </w:t>
            </w:r>
            <w:r w:rsidRPr="00C14F2B">
              <w:rPr>
                <w:b/>
                <w:bCs/>
              </w:rPr>
              <w:t>severe bereavement</w:t>
            </w:r>
            <w:r>
              <w:t xml:space="preserve"> surrounding loss of land and collective embarrassment regarding such a blatant violation of its independence, </w:t>
            </w:r>
            <w:r w:rsidRPr="00C14F2B">
              <w:rPr>
                <w:b/>
                <w:bCs/>
              </w:rPr>
              <w:t>would be subsumed below its northern counterpart.</w:t>
            </w:r>
          </w:p>
          <w:p w14:paraId="7CD1E5A1" w14:textId="77777777" w:rsidR="00C14F2B" w:rsidRDefault="00C14F2B" w:rsidP="00C14F2B">
            <w:pPr>
              <w:contextualSpacing/>
            </w:pPr>
          </w:p>
        </w:tc>
      </w:tr>
      <w:tr w:rsidR="00C14F2B" w14:paraId="585674E2" w14:textId="77777777" w:rsidTr="00C14F2B">
        <w:tc>
          <w:tcPr>
            <w:tcW w:w="2695" w:type="dxa"/>
          </w:tcPr>
          <w:p w14:paraId="738B0798" w14:textId="19DFDC5B" w:rsidR="00C14F2B" w:rsidRPr="00C14F2B" w:rsidRDefault="00C14F2B" w:rsidP="00C14F2B">
            <w:pPr>
              <w:pStyle w:val="ListParagraph"/>
              <w:numPr>
                <w:ilvl w:val="0"/>
                <w:numId w:val="1"/>
              </w:numPr>
              <w:rPr>
                <w:b/>
                <w:bCs/>
              </w:rPr>
            </w:pPr>
            <w:r>
              <w:rPr>
                <w:b/>
                <w:bCs/>
              </w:rPr>
              <w:t>Overuse of thesaurus leads to wrong choice of word</w:t>
            </w:r>
          </w:p>
        </w:tc>
        <w:tc>
          <w:tcPr>
            <w:tcW w:w="6655" w:type="dxa"/>
          </w:tcPr>
          <w:p w14:paraId="3C155A36" w14:textId="77777777" w:rsidR="00C14F2B" w:rsidRDefault="00C14F2B" w:rsidP="00C14F2B">
            <w:pPr>
              <w:contextualSpacing/>
            </w:pPr>
            <w:r>
              <w:t>The study of the individual impact of these individuals has been referred to as “</w:t>
            </w:r>
            <w:r>
              <w:rPr>
                <w:i/>
                <w:iCs/>
              </w:rPr>
              <w:t>caudillismo</w:t>
            </w:r>
            <w:r>
              <w:t>”, and is largely endemic of the biographical approach taken by many historians in trying to understand the Mexican political sphere</w:t>
            </w:r>
          </w:p>
          <w:p w14:paraId="37AF3A25" w14:textId="77777777" w:rsidR="00C14F2B" w:rsidRDefault="00C14F2B" w:rsidP="00C14F2B">
            <w:pPr>
              <w:contextualSpacing/>
            </w:pPr>
          </w:p>
        </w:tc>
      </w:tr>
      <w:tr w:rsidR="00C14F2B" w14:paraId="65499C95" w14:textId="77777777" w:rsidTr="00C14F2B">
        <w:tc>
          <w:tcPr>
            <w:tcW w:w="2695" w:type="dxa"/>
          </w:tcPr>
          <w:p w14:paraId="49F75F6E" w14:textId="262BF852" w:rsidR="00C14F2B" w:rsidRPr="00C14F2B" w:rsidRDefault="00C14F2B" w:rsidP="00C14F2B">
            <w:pPr>
              <w:pStyle w:val="ListParagraph"/>
              <w:numPr>
                <w:ilvl w:val="0"/>
                <w:numId w:val="1"/>
              </w:numPr>
              <w:rPr>
                <w:b/>
                <w:bCs/>
              </w:rPr>
            </w:pPr>
            <w:r>
              <w:rPr>
                <w:b/>
                <w:bCs/>
              </w:rPr>
              <w:t>Jamming multiple ideas – often confusingly – into a single, very long sentence</w:t>
            </w:r>
          </w:p>
        </w:tc>
        <w:tc>
          <w:tcPr>
            <w:tcW w:w="6655" w:type="dxa"/>
          </w:tcPr>
          <w:p w14:paraId="52028490" w14:textId="076CF284" w:rsidR="00C14F2B" w:rsidRDefault="00C14F2B" w:rsidP="00C14F2B">
            <w:pPr>
              <w:contextualSpacing/>
            </w:pPr>
            <w:r>
              <w:t xml:space="preserve">The issue of culture is concerned here as the reforms aimed to modernize Mexico, suggesting that Spain viewed it as outdated and inefficient which is evident through supporters of the </w:t>
            </w:r>
            <w:proofErr w:type="gramStart"/>
            <w:r>
              <w:t>Bourbon</w:t>
            </w:r>
            <w:proofErr w:type="gramEnd"/>
            <w:r>
              <w:t xml:space="preserve"> reforms who ‘believed it was both possible and necessary to assimilate the indigenous peoples.</w:t>
            </w:r>
          </w:p>
          <w:p w14:paraId="79A0553E" w14:textId="16F31A92" w:rsidR="00C14F2B" w:rsidRDefault="00C14F2B" w:rsidP="00C14F2B">
            <w:pPr>
              <w:contextualSpacing/>
            </w:pPr>
          </w:p>
          <w:p w14:paraId="074F0E03" w14:textId="3017B4AD" w:rsidR="00C14F2B" w:rsidRDefault="00C14F2B" w:rsidP="00C14F2B">
            <w:pPr>
              <w:contextualSpacing/>
            </w:pPr>
            <w:r>
              <w:t xml:space="preserve">Or </w:t>
            </w:r>
          </w:p>
          <w:p w14:paraId="187B261E" w14:textId="47721B80" w:rsidR="00C14F2B" w:rsidRDefault="00C14F2B" w:rsidP="00C14F2B">
            <w:pPr>
              <w:contextualSpacing/>
            </w:pPr>
          </w:p>
          <w:p w14:paraId="2FCF74AC" w14:textId="77777777" w:rsidR="00C14F2B" w:rsidRDefault="00C14F2B" w:rsidP="00C14F2B">
            <w:pPr>
              <w:contextualSpacing/>
            </w:pPr>
            <w:r>
              <w:t xml:space="preserve">James Polk’s goal to “Manifest Destiny” was the ideological push for America to invade the independent state of Texas in 1846, using the occupation as a way of negotiating the Treaty of Guadalupe Hidalgo in 1848 and claiming the northern territory Polk was after, whilst also, as Peter </w:t>
            </w:r>
            <w:proofErr w:type="spellStart"/>
            <w:r>
              <w:t>Guardino</w:t>
            </w:r>
            <w:proofErr w:type="spellEnd"/>
            <w:r>
              <w:t xml:space="preserve"> points out, promoting strong anti-Catholic and anti-Mexican motivations for volunteer soldiers, who would go on to impose terror on peaceful Mexicans and Catholicism in general, continuing to do so throughout Texas, California, and New Mexico</w:t>
            </w:r>
          </w:p>
          <w:p w14:paraId="7F95C5BA" w14:textId="22955E00" w:rsidR="00C14F2B" w:rsidRDefault="00C14F2B" w:rsidP="00C14F2B">
            <w:pPr>
              <w:contextualSpacing/>
            </w:pPr>
          </w:p>
          <w:p w14:paraId="5743FDBD" w14:textId="39C3AFEB" w:rsidR="00C14F2B" w:rsidRDefault="00C14F2B" w:rsidP="00C14F2B">
            <w:pPr>
              <w:contextualSpacing/>
            </w:pPr>
            <w:r>
              <w:t xml:space="preserve">Or </w:t>
            </w:r>
          </w:p>
          <w:p w14:paraId="23409933" w14:textId="0041F04E" w:rsidR="00C14F2B" w:rsidRDefault="00C14F2B" w:rsidP="00C14F2B">
            <w:pPr>
              <w:contextualSpacing/>
            </w:pPr>
          </w:p>
          <w:p w14:paraId="026A92DB" w14:textId="77777777" w:rsidR="00C14F2B" w:rsidRDefault="00C14F2B" w:rsidP="00C14F2B">
            <w:pPr>
              <w:contextualSpacing/>
            </w:pPr>
            <w:r>
              <w:lastRenderedPageBreak/>
              <w:t xml:space="preserve">Resistance in Northern territories, as mentioned earlier, would not have been so impactful if not for the employment of guerrilla tactics, being </w:t>
            </w:r>
            <w:proofErr w:type="spellStart"/>
            <w:r>
              <w:t>recognisably</w:t>
            </w:r>
            <w:proofErr w:type="spellEnd"/>
            <w:r>
              <w:t xml:space="preserve"> effective and widely employed across Mexico as a way of disrupting supply lines, resisting American brutality in occupied cities, and mostly as a way of picking up the slack of the Mexican army</w:t>
            </w:r>
          </w:p>
          <w:p w14:paraId="7CAC8B57" w14:textId="77777777" w:rsidR="00C14F2B" w:rsidRDefault="00C14F2B" w:rsidP="00C14F2B">
            <w:pPr>
              <w:contextualSpacing/>
            </w:pPr>
          </w:p>
          <w:p w14:paraId="4082CB52" w14:textId="77777777" w:rsidR="00C14F2B" w:rsidRDefault="00C14F2B" w:rsidP="00C14F2B">
            <w:pPr>
              <w:contextualSpacing/>
            </w:pPr>
            <w:r>
              <w:t xml:space="preserve">Or </w:t>
            </w:r>
          </w:p>
          <w:p w14:paraId="5B539D49" w14:textId="77777777" w:rsidR="00C14F2B" w:rsidRDefault="00C14F2B" w:rsidP="00C14F2B">
            <w:pPr>
              <w:contextualSpacing/>
            </w:pPr>
          </w:p>
          <w:p w14:paraId="31C5EBC9" w14:textId="77777777" w:rsidR="00C14F2B" w:rsidRDefault="00C14F2B" w:rsidP="00C14F2B">
            <w:pPr>
              <w:contextualSpacing/>
              <w:rPr>
                <w:rFonts w:ascii="Helvetica Light" w:hAnsi="Helvetica Light"/>
              </w:rPr>
            </w:pPr>
            <w:r>
              <w:rPr>
                <w:rFonts w:ascii="Helvetica Light" w:hAnsi="Helvetica Light"/>
              </w:rPr>
              <w:t xml:space="preserve">The most common historical perspective leans towards the notion that Mark Wasserman put forward whereby Mexico was severely wounded by the failures from Mexican political </w:t>
            </w:r>
            <w:proofErr w:type="gramStart"/>
            <w:r>
              <w:rPr>
                <w:rFonts w:ascii="Helvetica Light" w:hAnsi="Helvetica Light"/>
              </w:rPr>
              <w:t>institutions</w:t>
            </w:r>
            <w:proofErr w:type="gramEnd"/>
            <w:r>
              <w:rPr>
                <w:rFonts w:ascii="Helvetica Light" w:hAnsi="Helvetica Light"/>
              </w:rPr>
              <w:t xml:space="preserve"> and this was fundamentally </w:t>
            </w:r>
            <w:proofErr w:type="spellStart"/>
            <w:r>
              <w:rPr>
                <w:rFonts w:ascii="Helvetica Light" w:hAnsi="Helvetica Light"/>
              </w:rPr>
              <w:t>fuelled</w:t>
            </w:r>
            <w:proofErr w:type="spellEnd"/>
            <w:r>
              <w:rPr>
                <w:rFonts w:ascii="Helvetica Light" w:hAnsi="Helvetica Light"/>
              </w:rPr>
              <w:t xml:space="preserve"> by the underlying property differences between the rich Spanish colonial elite and the poorer indigenous residents resulting in vast economic disparity</w:t>
            </w:r>
          </w:p>
          <w:p w14:paraId="3214DC06" w14:textId="74BEEB3E" w:rsidR="00C14F2B" w:rsidRDefault="00C14F2B" w:rsidP="00C14F2B">
            <w:pPr>
              <w:contextualSpacing/>
            </w:pPr>
          </w:p>
        </w:tc>
      </w:tr>
      <w:tr w:rsidR="00C14F2B" w14:paraId="3BB7F5EE" w14:textId="77777777" w:rsidTr="00C14F2B">
        <w:tc>
          <w:tcPr>
            <w:tcW w:w="2695" w:type="dxa"/>
          </w:tcPr>
          <w:p w14:paraId="5408E821" w14:textId="2CE0C1D5" w:rsidR="00C14F2B" w:rsidRPr="00C14F2B" w:rsidRDefault="00C14F2B" w:rsidP="00C14F2B">
            <w:pPr>
              <w:pStyle w:val="ListParagraph"/>
              <w:numPr>
                <w:ilvl w:val="0"/>
                <w:numId w:val="1"/>
              </w:numPr>
              <w:rPr>
                <w:b/>
                <w:bCs/>
              </w:rPr>
            </w:pPr>
            <w:r>
              <w:rPr>
                <w:b/>
                <w:bCs/>
              </w:rPr>
              <w:lastRenderedPageBreak/>
              <w:t>Passive voice</w:t>
            </w:r>
          </w:p>
        </w:tc>
        <w:tc>
          <w:tcPr>
            <w:tcW w:w="6655" w:type="dxa"/>
          </w:tcPr>
          <w:p w14:paraId="4578D0D6" w14:textId="77777777" w:rsidR="00C14F2B" w:rsidRDefault="00C14F2B" w:rsidP="00C14F2B">
            <w:pPr>
              <w:contextualSpacing/>
            </w:pPr>
            <w:r w:rsidRPr="00704581">
              <w:t xml:space="preserve">These cultural traditions </w:t>
            </w:r>
            <w:r w:rsidRPr="00C14F2B">
              <w:rPr>
                <w:b/>
                <w:bCs/>
              </w:rPr>
              <w:t>were dramatically changed</w:t>
            </w:r>
            <w:r w:rsidRPr="00704581">
              <w:t xml:space="preserve"> in the late 18th century through the Bourbon Reforms, a series of reforms implemented by the Spanish crown impacting all facets of life in Spain and its colonies.</w:t>
            </w:r>
          </w:p>
          <w:p w14:paraId="74BE1852" w14:textId="77777777" w:rsidR="00C14F2B" w:rsidRDefault="00C14F2B" w:rsidP="00C14F2B">
            <w:pPr>
              <w:contextualSpacing/>
            </w:pPr>
          </w:p>
        </w:tc>
      </w:tr>
      <w:tr w:rsidR="00C14F2B" w14:paraId="183C18B3" w14:textId="77777777" w:rsidTr="00C14F2B">
        <w:tc>
          <w:tcPr>
            <w:tcW w:w="2695" w:type="dxa"/>
          </w:tcPr>
          <w:p w14:paraId="1B6273EB" w14:textId="46BE498D" w:rsidR="00C14F2B" w:rsidRPr="00C14F2B" w:rsidRDefault="00C14F2B" w:rsidP="00C14F2B">
            <w:pPr>
              <w:pStyle w:val="ListParagraph"/>
              <w:numPr>
                <w:ilvl w:val="0"/>
                <w:numId w:val="1"/>
              </w:numPr>
              <w:rPr>
                <w:b/>
                <w:bCs/>
              </w:rPr>
            </w:pPr>
            <w:r>
              <w:rPr>
                <w:b/>
                <w:bCs/>
              </w:rPr>
              <w:t>Hanging or dangling phrases</w:t>
            </w:r>
          </w:p>
        </w:tc>
        <w:tc>
          <w:tcPr>
            <w:tcW w:w="6655" w:type="dxa"/>
          </w:tcPr>
          <w:p w14:paraId="5F864317" w14:textId="57E4F392" w:rsidR="00C14F2B" w:rsidRDefault="00C14F2B" w:rsidP="00C14F2B">
            <w:pPr>
              <w:contextualSpacing/>
              <w:rPr>
                <w:rFonts w:ascii="Times New Roman" w:hAnsi="Times New Roman" w:cs="Times New Roman"/>
              </w:rPr>
            </w:pPr>
            <w:r>
              <w:rPr>
                <w:rFonts w:ascii="Times New Roman" w:hAnsi="Times New Roman" w:cs="Times New Roman"/>
              </w:rPr>
              <w:t>Another important factor that led to Mexican Independence was the political problems leading up to the War, both long and short term.</w:t>
            </w:r>
          </w:p>
          <w:p w14:paraId="056100D5" w14:textId="7569A838" w:rsidR="00C14F2B" w:rsidRDefault="00C14F2B" w:rsidP="00C14F2B">
            <w:pPr>
              <w:contextualSpacing/>
              <w:rPr>
                <w:rFonts w:ascii="Times New Roman" w:hAnsi="Times New Roman" w:cs="Times New Roman"/>
              </w:rPr>
            </w:pPr>
          </w:p>
          <w:p w14:paraId="71675910" w14:textId="665E07AF" w:rsidR="00C14F2B" w:rsidRDefault="00C14F2B" w:rsidP="00C14F2B">
            <w:pPr>
              <w:contextualSpacing/>
              <w:rPr>
                <w:rFonts w:ascii="Times New Roman" w:hAnsi="Times New Roman" w:cs="Times New Roman"/>
              </w:rPr>
            </w:pPr>
            <w:r>
              <w:rPr>
                <w:rFonts w:ascii="Times New Roman" w:hAnsi="Times New Roman" w:cs="Times New Roman"/>
              </w:rPr>
              <w:t xml:space="preserve">Or </w:t>
            </w:r>
          </w:p>
          <w:p w14:paraId="4059C4A1" w14:textId="4ED91839" w:rsidR="00C14F2B" w:rsidRDefault="00C14F2B" w:rsidP="00C14F2B">
            <w:pPr>
              <w:contextualSpacing/>
              <w:rPr>
                <w:rFonts w:ascii="Times New Roman" w:hAnsi="Times New Roman" w:cs="Times New Roman"/>
              </w:rPr>
            </w:pPr>
          </w:p>
          <w:p w14:paraId="3715EB15" w14:textId="77777777" w:rsidR="00C14F2B" w:rsidRDefault="00C14F2B" w:rsidP="00C14F2B">
            <w:pPr>
              <w:contextualSpacing/>
            </w:pPr>
            <w:r>
              <w:rPr>
                <w:rFonts w:ascii="Times New Roman" w:hAnsi="Times New Roman" w:cs="Times New Roman"/>
              </w:rPr>
              <w:t xml:space="preserve">There is often disagreement surrounding the events of the Mexican independence movement, most notably which factors </w:t>
            </w:r>
            <w:proofErr w:type="spellStart"/>
            <w:r>
              <w:rPr>
                <w:rFonts w:ascii="Times New Roman" w:hAnsi="Times New Roman" w:cs="Times New Roman"/>
              </w:rPr>
              <w:t>catalysed</w:t>
            </w:r>
            <w:proofErr w:type="spellEnd"/>
            <w:r>
              <w:rPr>
                <w:rFonts w:ascii="Times New Roman" w:hAnsi="Times New Roman" w:cs="Times New Roman"/>
              </w:rPr>
              <w:t xml:space="preserve"> the break from Spanish imperial rule and allowed the rebellion to gain such widespread support in the 1800s.</w:t>
            </w:r>
          </w:p>
          <w:p w14:paraId="79832456" w14:textId="49AF2E4E" w:rsidR="00C14F2B" w:rsidRDefault="00C14F2B" w:rsidP="00C14F2B">
            <w:pPr>
              <w:contextualSpacing/>
              <w:rPr>
                <w:rFonts w:ascii="Times New Roman" w:hAnsi="Times New Roman" w:cs="Times New Roman"/>
                <w:lang w:eastAsia="en-GB"/>
              </w:rPr>
            </w:pPr>
          </w:p>
          <w:p w14:paraId="60903C6D" w14:textId="776154EA" w:rsidR="00C14F2B" w:rsidRDefault="00C14F2B" w:rsidP="00C14F2B">
            <w:pPr>
              <w:contextualSpacing/>
              <w:rPr>
                <w:rFonts w:ascii="Times New Roman" w:hAnsi="Times New Roman" w:cs="Times New Roman"/>
                <w:lang w:eastAsia="en-GB"/>
              </w:rPr>
            </w:pPr>
            <w:r>
              <w:rPr>
                <w:rFonts w:ascii="Times New Roman" w:hAnsi="Times New Roman" w:cs="Times New Roman"/>
                <w:lang w:eastAsia="en-GB"/>
              </w:rPr>
              <w:t xml:space="preserve">Or </w:t>
            </w:r>
          </w:p>
          <w:p w14:paraId="6C038DF1" w14:textId="5F6936FB" w:rsidR="00C14F2B" w:rsidRDefault="00C14F2B" w:rsidP="00C14F2B">
            <w:pPr>
              <w:contextualSpacing/>
              <w:rPr>
                <w:rFonts w:ascii="Times New Roman" w:hAnsi="Times New Roman" w:cs="Times New Roman"/>
                <w:lang w:eastAsia="en-GB"/>
              </w:rPr>
            </w:pPr>
          </w:p>
          <w:p w14:paraId="5EF8A5A3" w14:textId="77777777" w:rsidR="00C14F2B" w:rsidRDefault="00C14F2B" w:rsidP="00C14F2B">
            <w:pPr>
              <w:contextualSpacing/>
              <w:jc w:val="both"/>
            </w:pPr>
            <w:r>
              <w:t>While American expansionism is the most important cause of the war, Polk’s actions are important in causing the outbreak of war, serving as a trigger</w:t>
            </w:r>
          </w:p>
          <w:p w14:paraId="626F32B1" w14:textId="77777777" w:rsidR="00C14F2B" w:rsidRDefault="00C14F2B" w:rsidP="00C14F2B">
            <w:pPr>
              <w:contextualSpacing/>
              <w:rPr>
                <w:rFonts w:ascii="Times New Roman" w:hAnsi="Times New Roman" w:cs="Times New Roman"/>
                <w:lang w:eastAsia="en-GB"/>
              </w:rPr>
            </w:pPr>
          </w:p>
          <w:p w14:paraId="2B05CAA6" w14:textId="77777777" w:rsidR="00C14F2B" w:rsidRDefault="00C14F2B" w:rsidP="00C14F2B">
            <w:pPr>
              <w:contextualSpacing/>
            </w:pPr>
          </w:p>
        </w:tc>
      </w:tr>
      <w:tr w:rsidR="00C14F2B" w14:paraId="1C1F4700" w14:textId="77777777" w:rsidTr="00C14F2B">
        <w:tc>
          <w:tcPr>
            <w:tcW w:w="2695" w:type="dxa"/>
          </w:tcPr>
          <w:p w14:paraId="548C4F10" w14:textId="4C31EE23" w:rsidR="00C14F2B" w:rsidRPr="00C14F2B" w:rsidRDefault="00C14F2B" w:rsidP="00C14F2B">
            <w:pPr>
              <w:contextualSpacing/>
              <w:rPr>
                <w:b/>
                <w:bCs/>
              </w:rPr>
            </w:pPr>
            <w:r>
              <w:rPr>
                <w:b/>
                <w:bCs/>
              </w:rPr>
              <w:t>5 Absence of main verb</w:t>
            </w:r>
          </w:p>
        </w:tc>
        <w:tc>
          <w:tcPr>
            <w:tcW w:w="6655" w:type="dxa"/>
          </w:tcPr>
          <w:p w14:paraId="3289A0B0" w14:textId="21F83300" w:rsidR="00C14F2B" w:rsidRDefault="00C14F2B" w:rsidP="00C14F2B">
            <w:pPr>
              <w:contextualSpacing/>
              <w:rPr>
                <w:rFonts w:ascii="Times New Roman" w:hAnsi="Times New Roman" w:cs="Times New Roman"/>
              </w:rPr>
            </w:pPr>
            <w:r>
              <w:rPr>
                <w:rFonts w:ascii="Times New Roman" w:hAnsi="Times New Roman" w:cs="Times New Roman"/>
              </w:rPr>
              <w:t>Many historians would argue that conflicts between various social groups within 19</w:t>
            </w:r>
            <w:r>
              <w:rPr>
                <w:rFonts w:ascii="Times New Roman" w:hAnsi="Times New Roman" w:cs="Times New Roman"/>
                <w:vertAlign w:val="superscript"/>
              </w:rPr>
              <w:t>th</w:t>
            </w:r>
            <w:r>
              <w:rPr>
                <w:rFonts w:ascii="Times New Roman" w:hAnsi="Times New Roman" w:cs="Times New Roman"/>
              </w:rPr>
              <w:t xml:space="preserve"> century Mexico played a significant role in sparking the insurrection. Namely the colonial hierarchy system within New Spain which created hostility towards the Spaniards </w:t>
            </w:r>
            <w:r>
              <w:rPr>
                <w:rFonts w:ascii="Times New Roman" w:hAnsi="Times New Roman" w:cs="Times New Roman"/>
              </w:rPr>
              <w:lastRenderedPageBreak/>
              <w:t xml:space="preserve">among creole </w:t>
            </w:r>
            <w:r>
              <w:rPr>
                <w:rFonts w:ascii="Times New Roman" w:hAnsi="Times New Roman" w:cs="Times New Roman"/>
                <w:color w:val="000000" w:themeColor="text1"/>
              </w:rPr>
              <w:t xml:space="preserve">(Americans of Spanish descent) </w:t>
            </w:r>
            <w:proofErr w:type="gramStart"/>
            <w:r>
              <w:rPr>
                <w:rFonts w:ascii="Times New Roman" w:hAnsi="Times New Roman" w:cs="Times New Roman"/>
              </w:rPr>
              <w:t>elites, and</w:t>
            </w:r>
            <w:proofErr w:type="gramEnd"/>
            <w:r>
              <w:rPr>
                <w:rFonts w:ascii="Times New Roman" w:hAnsi="Times New Roman" w:cs="Times New Roman"/>
              </w:rPr>
              <w:t xml:space="preserve"> justified the desire for autonomy.</w:t>
            </w:r>
          </w:p>
          <w:p w14:paraId="49C93E72" w14:textId="486D8523" w:rsidR="00C14F2B" w:rsidRDefault="00C14F2B" w:rsidP="00C14F2B">
            <w:pPr>
              <w:contextualSpacing/>
              <w:rPr>
                <w:rFonts w:ascii="Times New Roman" w:hAnsi="Times New Roman" w:cs="Times New Roman"/>
              </w:rPr>
            </w:pPr>
          </w:p>
          <w:p w14:paraId="2C9974DF" w14:textId="44950E83" w:rsidR="00C14F2B" w:rsidRDefault="00C14F2B" w:rsidP="00C14F2B">
            <w:pPr>
              <w:contextualSpacing/>
              <w:rPr>
                <w:rFonts w:ascii="Times New Roman" w:hAnsi="Times New Roman" w:cs="Times New Roman"/>
              </w:rPr>
            </w:pPr>
            <w:r>
              <w:rPr>
                <w:rFonts w:ascii="Times New Roman" w:hAnsi="Times New Roman" w:cs="Times New Roman"/>
              </w:rPr>
              <w:t xml:space="preserve">Or </w:t>
            </w:r>
          </w:p>
          <w:p w14:paraId="255A8751" w14:textId="1D05EC18" w:rsidR="00C14F2B" w:rsidRDefault="00C14F2B" w:rsidP="00C14F2B">
            <w:pPr>
              <w:contextualSpacing/>
              <w:rPr>
                <w:rFonts w:ascii="Times New Roman" w:hAnsi="Times New Roman" w:cs="Times New Roman"/>
              </w:rPr>
            </w:pPr>
          </w:p>
          <w:p w14:paraId="1AFBB761" w14:textId="77777777" w:rsidR="00C14F2B" w:rsidRDefault="00C14F2B" w:rsidP="00C14F2B">
            <w:pPr>
              <w:contextualSpacing/>
              <w:jc w:val="both"/>
            </w:pPr>
            <w:r>
              <w:t xml:space="preserve">Mexico’s loss of Texas suggested that Mexico was a second-class country, unable to effectively </w:t>
            </w:r>
            <w:proofErr w:type="spellStart"/>
            <w:r>
              <w:t>organise</w:t>
            </w:r>
            <w:proofErr w:type="spellEnd"/>
            <w:r>
              <w:t xml:space="preserve"> its territory. Now no longer an equal who could </w:t>
            </w:r>
            <w:proofErr w:type="spellStart"/>
            <w:r>
              <w:t>colonise</w:t>
            </w:r>
            <w:proofErr w:type="spellEnd"/>
            <w:r>
              <w:t xml:space="preserve">, but one to be </w:t>
            </w:r>
            <w:proofErr w:type="spellStart"/>
            <w:r>
              <w:t>colonised</w:t>
            </w:r>
            <w:proofErr w:type="spellEnd"/>
            <w:r>
              <w:t>, placing them on par with Native Americans in US eyes</w:t>
            </w:r>
          </w:p>
          <w:p w14:paraId="073F1B01" w14:textId="5625DD0B" w:rsidR="00C14F2B" w:rsidRDefault="00C14F2B" w:rsidP="00C14F2B">
            <w:pPr>
              <w:contextualSpacing/>
              <w:rPr>
                <w:rFonts w:ascii="Times New Roman" w:hAnsi="Times New Roman" w:cs="Times New Roman"/>
                <w:lang w:eastAsia="en-GB"/>
              </w:rPr>
            </w:pPr>
          </w:p>
          <w:p w14:paraId="059DCE75" w14:textId="59ABD0BA" w:rsidR="00C14F2B" w:rsidRDefault="00C14F2B" w:rsidP="00C14F2B">
            <w:pPr>
              <w:contextualSpacing/>
              <w:rPr>
                <w:rFonts w:ascii="Times New Roman" w:hAnsi="Times New Roman" w:cs="Times New Roman"/>
                <w:lang w:eastAsia="en-GB"/>
              </w:rPr>
            </w:pPr>
            <w:r>
              <w:rPr>
                <w:rFonts w:ascii="Times New Roman" w:hAnsi="Times New Roman" w:cs="Times New Roman"/>
                <w:lang w:eastAsia="en-GB"/>
              </w:rPr>
              <w:t xml:space="preserve">Or </w:t>
            </w:r>
          </w:p>
          <w:p w14:paraId="2F735A32" w14:textId="7757F5D8" w:rsidR="00C14F2B" w:rsidRDefault="00C14F2B" w:rsidP="00C14F2B">
            <w:pPr>
              <w:contextualSpacing/>
              <w:rPr>
                <w:rFonts w:ascii="Times New Roman" w:hAnsi="Times New Roman" w:cs="Times New Roman"/>
                <w:lang w:eastAsia="en-GB"/>
              </w:rPr>
            </w:pPr>
          </w:p>
          <w:p w14:paraId="2518E026" w14:textId="77777777" w:rsidR="00C14F2B" w:rsidRDefault="00C14F2B" w:rsidP="00C14F2B">
            <w:pPr>
              <w:contextualSpacing/>
            </w:pPr>
            <w:r>
              <w:t>Therefore, slavery as a motivating factor behind expansionism drove the US to ignite the acquisition of territory, in this example Texas. Which increased war into a possibility over a mere probability.</w:t>
            </w:r>
          </w:p>
          <w:p w14:paraId="047F5CD4" w14:textId="7EBBF64C" w:rsidR="00C14F2B" w:rsidRDefault="00C14F2B" w:rsidP="00C14F2B">
            <w:pPr>
              <w:contextualSpacing/>
              <w:rPr>
                <w:rFonts w:ascii="Times New Roman" w:hAnsi="Times New Roman" w:cs="Times New Roman"/>
                <w:lang w:eastAsia="en-GB"/>
              </w:rPr>
            </w:pPr>
          </w:p>
          <w:p w14:paraId="0BE4C02B" w14:textId="77777777" w:rsidR="00C14F2B" w:rsidRDefault="00C14F2B" w:rsidP="00C14F2B">
            <w:pPr>
              <w:contextualSpacing/>
              <w:rPr>
                <w:rFonts w:ascii="Times New Roman" w:hAnsi="Times New Roman" w:cs="Times New Roman"/>
                <w:lang w:eastAsia="en-GB"/>
              </w:rPr>
            </w:pPr>
          </w:p>
          <w:p w14:paraId="6CB1FC77" w14:textId="64E33306" w:rsidR="00C14F2B" w:rsidRDefault="00C14F2B" w:rsidP="00C14F2B">
            <w:pPr>
              <w:contextualSpacing/>
              <w:rPr>
                <w:rFonts w:ascii="Times New Roman" w:hAnsi="Times New Roman" w:cs="Times New Roman"/>
                <w:lang w:eastAsia="en-GB"/>
              </w:rPr>
            </w:pPr>
            <w:r>
              <w:rPr>
                <w:rFonts w:ascii="Times New Roman" w:hAnsi="Times New Roman" w:cs="Times New Roman"/>
                <w:lang w:eastAsia="en-GB"/>
              </w:rPr>
              <w:t xml:space="preserve">Or </w:t>
            </w:r>
          </w:p>
          <w:p w14:paraId="7B296A3B" w14:textId="7EDD5FB4" w:rsidR="00C14F2B" w:rsidRDefault="00C14F2B" w:rsidP="00C14F2B">
            <w:pPr>
              <w:contextualSpacing/>
              <w:rPr>
                <w:rFonts w:ascii="Times New Roman" w:hAnsi="Times New Roman" w:cs="Times New Roman"/>
                <w:lang w:eastAsia="en-GB"/>
              </w:rPr>
            </w:pPr>
          </w:p>
          <w:p w14:paraId="50B1C612" w14:textId="77777777" w:rsidR="00C14F2B" w:rsidRDefault="00C14F2B" w:rsidP="00C14F2B">
            <w:pPr>
              <w:contextualSpacing/>
            </w:pPr>
            <w:r>
              <w:t xml:space="preserve">The Mexican cause as, political tensions driven by their undiplomatic </w:t>
            </w:r>
            <w:proofErr w:type="spellStart"/>
            <w:r>
              <w:t>behaviour</w:t>
            </w:r>
            <w:proofErr w:type="spellEnd"/>
            <w:r>
              <w:t>, including their treatment of Americans before the war, which aggravated American governments. Therefore, this essay will consider the traditional, historical arguments of Texas and territory, and assess where slavery can fit into questions of expansionism. Followed by critical analysis of the significance of Mexican involvement as a cause of the war.</w:t>
            </w:r>
          </w:p>
          <w:p w14:paraId="0DAD696A" w14:textId="77777777" w:rsidR="00C14F2B" w:rsidRDefault="00C14F2B" w:rsidP="00C14F2B">
            <w:pPr>
              <w:contextualSpacing/>
              <w:rPr>
                <w:rFonts w:ascii="Times New Roman" w:hAnsi="Times New Roman" w:cs="Times New Roman"/>
                <w:lang w:eastAsia="en-GB"/>
              </w:rPr>
            </w:pPr>
          </w:p>
          <w:p w14:paraId="25C1EFF5" w14:textId="77777777" w:rsidR="00C14F2B" w:rsidRDefault="00C14F2B" w:rsidP="00C14F2B">
            <w:pPr>
              <w:contextualSpacing/>
            </w:pPr>
          </w:p>
        </w:tc>
      </w:tr>
      <w:tr w:rsidR="00C14F2B" w14:paraId="5E0E50C1" w14:textId="77777777" w:rsidTr="00C14F2B">
        <w:tc>
          <w:tcPr>
            <w:tcW w:w="2695" w:type="dxa"/>
          </w:tcPr>
          <w:p w14:paraId="76F378EE" w14:textId="63088295" w:rsidR="00C14F2B" w:rsidRPr="00C14F2B" w:rsidRDefault="00C14F2B" w:rsidP="00C14F2B">
            <w:pPr>
              <w:pStyle w:val="ListParagraph"/>
              <w:numPr>
                <w:ilvl w:val="0"/>
                <w:numId w:val="1"/>
              </w:numPr>
              <w:rPr>
                <w:b/>
                <w:bCs/>
              </w:rPr>
            </w:pPr>
            <w:r w:rsidRPr="00C14F2B">
              <w:rPr>
                <w:b/>
                <w:bCs/>
              </w:rPr>
              <w:lastRenderedPageBreak/>
              <w:t xml:space="preserve"> The pointless signpost</w:t>
            </w:r>
          </w:p>
        </w:tc>
        <w:tc>
          <w:tcPr>
            <w:tcW w:w="6655" w:type="dxa"/>
          </w:tcPr>
          <w:p w14:paraId="5A116248" w14:textId="77777777" w:rsidR="00C14F2B" w:rsidRDefault="00C14F2B" w:rsidP="00C14F2B">
            <w:pPr>
              <w:contextualSpacing/>
              <w:rPr>
                <w:rFonts w:ascii="Helvetica Light" w:hAnsi="Helvetica Light"/>
              </w:rPr>
            </w:pPr>
          </w:p>
          <w:p w14:paraId="67F44EB4" w14:textId="77777777" w:rsidR="00C14F2B" w:rsidRDefault="00C14F2B" w:rsidP="00C14F2B">
            <w:pPr>
              <w:contextualSpacing/>
              <w:rPr>
                <w:rFonts w:ascii="Helvetica Light" w:hAnsi="Helvetica Light"/>
              </w:rPr>
            </w:pPr>
            <w:r>
              <w:rPr>
                <w:rFonts w:ascii="Helvetica Light" w:hAnsi="Helvetica Light"/>
              </w:rPr>
              <w:t xml:space="preserve">Thus, it is clear that the cultural divisions were fundamental in causing civil turmoil as aspects of culture like religion were essential to all sectors of Mexican society which brought forward other disparities. </w:t>
            </w:r>
          </w:p>
          <w:p w14:paraId="2B4EC49E" w14:textId="77777777" w:rsidR="00C14F2B" w:rsidRDefault="00C14F2B" w:rsidP="00C14F2B">
            <w:pPr>
              <w:contextualSpacing/>
            </w:pPr>
          </w:p>
          <w:p w14:paraId="07D9A7E9" w14:textId="77777777" w:rsidR="00C14F2B" w:rsidRDefault="00C14F2B" w:rsidP="00C14F2B">
            <w:pPr>
              <w:contextualSpacing/>
            </w:pPr>
            <w:r>
              <w:t>Firstly, the instruments of colonial rule and the governance of New Spain must be looked at in order to understand the reasons for Mexican independence.</w:t>
            </w:r>
          </w:p>
          <w:p w14:paraId="7573298F" w14:textId="5D41405B" w:rsidR="00C14F2B" w:rsidRDefault="00C14F2B" w:rsidP="00C14F2B">
            <w:pPr>
              <w:contextualSpacing/>
            </w:pPr>
          </w:p>
        </w:tc>
      </w:tr>
      <w:tr w:rsidR="00C14F2B" w14:paraId="3F4CB6C4" w14:textId="77777777" w:rsidTr="00C14F2B">
        <w:tc>
          <w:tcPr>
            <w:tcW w:w="2695" w:type="dxa"/>
          </w:tcPr>
          <w:p w14:paraId="663CD50D" w14:textId="57B24119" w:rsidR="00C14F2B" w:rsidRPr="00C14F2B" w:rsidRDefault="00C14F2B" w:rsidP="00C14F2B">
            <w:pPr>
              <w:pStyle w:val="ListParagraph"/>
              <w:numPr>
                <w:ilvl w:val="0"/>
                <w:numId w:val="1"/>
              </w:numPr>
              <w:rPr>
                <w:b/>
                <w:bCs/>
              </w:rPr>
            </w:pPr>
            <w:r>
              <w:rPr>
                <w:b/>
                <w:bCs/>
              </w:rPr>
              <w:t>The pretentious introductory phrase</w:t>
            </w:r>
          </w:p>
        </w:tc>
        <w:tc>
          <w:tcPr>
            <w:tcW w:w="6655" w:type="dxa"/>
          </w:tcPr>
          <w:p w14:paraId="6C784AF9" w14:textId="32F28596" w:rsidR="00C14F2B" w:rsidRDefault="00C14F2B" w:rsidP="00C14F2B">
            <w:pPr>
              <w:contextualSpacing/>
            </w:pPr>
            <w:r>
              <w:t xml:space="preserve">In consideration of the historical contributions to the discussion of the </w:t>
            </w:r>
            <w:proofErr w:type="gramStart"/>
            <w:r>
              <w:t>Mexican-American</w:t>
            </w:r>
            <w:proofErr w:type="gramEnd"/>
            <w:r>
              <w:t xml:space="preserve"> war it is explicit that the annexation of Texas, advocated by the Americans was the number one cause of the war.</w:t>
            </w:r>
          </w:p>
          <w:p w14:paraId="46C644DD" w14:textId="77777777" w:rsidR="00C14F2B" w:rsidRDefault="00C14F2B" w:rsidP="00C14F2B">
            <w:pPr>
              <w:contextualSpacing/>
            </w:pPr>
          </w:p>
        </w:tc>
      </w:tr>
      <w:tr w:rsidR="00C14F2B" w14:paraId="2BDA1518" w14:textId="77777777" w:rsidTr="00C14F2B">
        <w:tc>
          <w:tcPr>
            <w:tcW w:w="2695" w:type="dxa"/>
          </w:tcPr>
          <w:p w14:paraId="7D0C46EE" w14:textId="420C237F" w:rsidR="00C14F2B" w:rsidRPr="00C14F2B" w:rsidRDefault="00C14F2B" w:rsidP="00C14F2B">
            <w:pPr>
              <w:pStyle w:val="ListParagraph"/>
              <w:numPr>
                <w:ilvl w:val="0"/>
                <w:numId w:val="1"/>
              </w:numPr>
              <w:rPr>
                <w:b/>
                <w:bCs/>
              </w:rPr>
            </w:pPr>
            <w:r>
              <w:rPr>
                <w:b/>
                <w:bCs/>
              </w:rPr>
              <w:lastRenderedPageBreak/>
              <w:t xml:space="preserve">A complete absence of evidence </w:t>
            </w:r>
          </w:p>
        </w:tc>
        <w:tc>
          <w:tcPr>
            <w:tcW w:w="6655" w:type="dxa"/>
          </w:tcPr>
          <w:p w14:paraId="66BAA633" w14:textId="77777777" w:rsidR="00C14F2B" w:rsidRDefault="00C14F2B" w:rsidP="00C14F2B">
            <w:pPr>
              <w:tabs>
                <w:tab w:val="left" w:pos="720"/>
                <w:tab w:val="left" w:pos="1629"/>
              </w:tabs>
              <w:contextualSpacing/>
            </w:pPr>
            <w:r>
              <w:t>The most prominent cultural division revolves around religious beliefs and practices, so it is important to understand the significance of religion to the average indigenous person. It is not merely the case that religion was important to everyday life – rather, religion was entirely implanted within all aspects of it.</w:t>
            </w:r>
            <w:r>
              <w:rPr>
                <w:rStyle w:val="FootnoteReference"/>
              </w:rPr>
              <w:footnoteReference w:id="1"/>
            </w:r>
            <w:r>
              <w:t xml:space="preserve"> This makes the attempted enforcement of European Catholicism by the Spanish colonial government particularly profound, and clearly shows the severity of these cultural divisions. It is likely the case that this complete disregard for indigenous culture was hugely influential in actually </w:t>
            </w:r>
            <w:proofErr w:type="spellStart"/>
            <w:r>
              <w:t>mobilising</w:t>
            </w:r>
            <w:proofErr w:type="spellEnd"/>
            <w:r>
              <w:t xml:space="preserve"> popular support against colonial rule itself, and much like the abovementioned racial hierarchy, this is also likely to have contributed massively to the popular resentment of the colonial system which would fuel the independence movement.</w:t>
            </w:r>
          </w:p>
          <w:p w14:paraId="5B0A0E79" w14:textId="77777777" w:rsidR="00C14F2B" w:rsidRDefault="00C14F2B" w:rsidP="00C14F2B">
            <w:pPr>
              <w:contextualSpacing/>
            </w:pPr>
          </w:p>
        </w:tc>
      </w:tr>
      <w:tr w:rsidR="00C14F2B" w14:paraId="5B98BD81" w14:textId="77777777" w:rsidTr="00C14F2B">
        <w:tc>
          <w:tcPr>
            <w:tcW w:w="2695" w:type="dxa"/>
          </w:tcPr>
          <w:p w14:paraId="2DDDC5CB" w14:textId="3B80055B" w:rsidR="00C14F2B" w:rsidRDefault="00C14F2B" w:rsidP="00C14F2B">
            <w:pPr>
              <w:pStyle w:val="ListParagraph"/>
              <w:numPr>
                <w:ilvl w:val="0"/>
                <w:numId w:val="1"/>
              </w:numPr>
              <w:rPr>
                <w:b/>
                <w:bCs/>
              </w:rPr>
            </w:pPr>
            <w:r>
              <w:rPr>
                <w:b/>
                <w:bCs/>
              </w:rPr>
              <w:t>Pointless signposting, overuse of quotations by historians, absence of actual contemporary evidence</w:t>
            </w:r>
          </w:p>
          <w:p w14:paraId="68680B17" w14:textId="55C2D121" w:rsidR="00C14F2B" w:rsidRPr="00C14F2B" w:rsidRDefault="00C14F2B" w:rsidP="00C14F2B">
            <w:pPr>
              <w:pStyle w:val="ListParagraph"/>
              <w:rPr>
                <w:b/>
                <w:bCs/>
              </w:rPr>
            </w:pPr>
          </w:p>
        </w:tc>
        <w:tc>
          <w:tcPr>
            <w:tcW w:w="6655" w:type="dxa"/>
          </w:tcPr>
          <w:p w14:paraId="495D7610" w14:textId="77777777" w:rsidR="00C14F2B" w:rsidRDefault="00C14F2B" w:rsidP="00C14F2B">
            <w:pPr>
              <w:contextualSpacing/>
              <w:rPr>
                <w:highlight w:val="yellow"/>
              </w:rPr>
            </w:pPr>
            <w:r>
              <w:t xml:space="preserve">In the book The Dead March by Peter </w:t>
            </w:r>
            <w:proofErr w:type="spellStart"/>
            <w:r>
              <w:t>Guardino</w:t>
            </w:r>
            <w:proofErr w:type="spellEnd"/>
            <w:r>
              <w:t xml:space="preserve"> we see the ideas of religious persecution and fear of Catholicism as a fundamental reason of why the US expanded into Mexican territory. </w:t>
            </w:r>
            <w:proofErr w:type="spellStart"/>
            <w:r>
              <w:t>Guardino</w:t>
            </w:r>
            <w:proofErr w:type="spellEnd"/>
            <w:r>
              <w:t xml:space="preserve"> argues that America “saw Catholicism as positively threatening” with the Church being “too hierarchical to be compatible with democracy”.</w:t>
            </w:r>
            <w:bookmarkStart w:id="0" w:name="_Ref88600777"/>
            <w:r>
              <w:rPr>
                <w:rStyle w:val="FootnoteReference"/>
              </w:rPr>
              <w:footnoteReference w:id="2"/>
            </w:r>
            <w:bookmarkEnd w:id="0"/>
            <w:r>
              <w:t xml:space="preserve"> This belief that the Catholics were anti American often led to deep anti-Catholic sentiments within America itself with this clearly being demonstrated in the existence of the San Patricio’s who saw more in common with Mexicans due to their shared religion than the American’s who repeatedly harassed and abused them. This relates even deeper to the war when the belief became popular that the “Catholic church was encouraging this migration to undermine the United States”.</w:t>
            </w:r>
            <w:r>
              <w:rPr>
                <w:vertAlign w:val="superscript"/>
              </w:rPr>
              <w:fldChar w:fldCharType="begin"/>
            </w:r>
            <w:r>
              <w:rPr>
                <w:vertAlign w:val="superscript"/>
              </w:rPr>
              <w:instrText xml:space="preserve"> NOTEREF _Ref88600777 \h  \* MERGEFORMAT </w:instrText>
            </w:r>
            <w:r>
              <w:rPr>
                <w:vertAlign w:val="superscript"/>
              </w:rPr>
            </w:r>
            <w:r>
              <w:rPr>
                <w:vertAlign w:val="superscript"/>
              </w:rPr>
              <w:fldChar w:fldCharType="separate"/>
            </w:r>
            <w:r>
              <w:rPr>
                <w:vertAlign w:val="superscript"/>
              </w:rPr>
              <w:t>1</w:t>
            </w:r>
            <w:r>
              <w:rPr>
                <w:vertAlign w:val="superscript"/>
              </w:rPr>
              <w:fldChar w:fldCharType="end"/>
            </w:r>
            <w:r>
              <w:rPr>
                <w:vertAlign w:val="superscript"/>
              </w:rPr>
              <w:t xml:space="preserve"> </w:t>
            </w:r>
            <w:r>
              <w:t xml:space="preserve">People believed that Catholicism was infecting their nation from abroad and Peter </w:t>
            </w:r>
            <w:proofErr w:type="spellStart"/>
            <w:r>
              <w:t>Guardino</w:t>
            </w:r>
            <w:proofErr w:type="spellEnd"/>
            <w:r>
              <w:t xml:space="preserve"> argues that the “violent backlash” against this increased immigration was “as much anti-Catholic as it was anti-foreign”</w:t>
            </w:r>
            <w:r>
              <w:rPr>
                <w:vertAlign w:val="superscript"/>
              </w:rPr>
              <w:t>.</w:t>
            </w:r>
            <w:r>
              <w:rPr>
                <w:vertAlign w:val="superscript"/>
              </w:rPr>
              <w:fldChar w:fldCharType="begin"/>
            </w:r>
            <w:r>
              <w:rPr>
                <w:vertAlign w:val="superscript"/>
              </w:rPr>
              <w:instrText xml:space="preserve"> NOTEREF _Ref88600777 \h  \* MERGEFORMAT </w:instrText>
            </w:r>
            <w:r>
              <w:rPr>
                <w:vertAlign w:val="superscript"/>
              </w:rPr>
            </w:r>
            <w:r>
              <w:rPr>
                <w:vertAlign w:val="superscript"/>
              </w:rPr>
              <w:fldChar w:fldCharType="separate"/>
            </w:r>
            <w:r>
              <w:rPr>
                <w:vertAlign w:val="superscript"/>
              </w:rPr>
              <w:t>1</w:t>
            </w:r>
            <w:r>
              <w:rPr>
                <w:vertAlign w:val="superscript"/>
              </w:rPr>
              <w:fldChar w:fldCharType="end"/>
            </w:r>
            <w:r>
              <w:t xml:space="preserve"> This suggests that the war into Mexico was clearly tied to religious sentiments held by those in America as we see a growing belief that the immigration from this country was undermining its values. Historians such as Ted C. Hinckley have called this a “protestant crusade”</w:t>
            </w:r>
            <w:r>
              <w:rPr>
                <w:rStyle w:val="FootnoteReference"/>
              </w:rPr>
              <w:footnoteReference w:id="3"/>
            </w:r>
            <w:r>
              <w:t xml:space="preserve"> and by 1945 Mexico became the “most common example used to prove Catholicism’s detrimental effects on the mind and soul”.</w:t>
            </w:r>
            <w:r>
              <w:rPr>
                <w:rStyle w:val="FootnoteReference"/>
              </w:rPr>
              <w:footnoteReference w:id="4"/>
            </w:r>
            <w:r>
              <w:t xml:space="preserve"> This demonstrates </w:t>
            </w:r>
            <w:r>
              <w:lastRenderedPageBreak/>
              <w:t xml:space="preserve">the strongly held view that the eradication of Catholicism or at least the </w:t>
            </w:r>
            <w:proofErr w:type="spellStart"/>
            <w:r>
              <w:t>minimising</w:t>
            </w:r>
            <w:proofErr w:type="spellEnd"/>
            <w:r>
              <w:t xml:space="preserve"> of the impact of Catholicism on American society was a key influence on America wanting to enter the conflict. This would depict a society wherein a war with a deeply Catholic nation would be mandated by the population as Hinckley points out we can see beliefs at the time that without conflict “the yoke of papal oppression would be placed upon every state of this republic”.</w:t>
            </w:r>
            <w:r>
              <w:rPr>
                <w:rStyle w:val="FootnoteReference"/>
              </w:rPr>
              <w:footnoteReference w:id="5"/>
            </w:r>
            <w:r>
              <w:t xml:space="preserve"> This clearly demonstrates the significance of religion to the war and that without religion this conflict may not have taken place. However, </w:t>
            </w:r>
            <w:proofErr w:type="spellStart"/>
            <w:r>
              <w:t>Guardino’s</w:t>
            </w:r>
            <w:proofErr w:type="spellEnd"/>
            <w:r>
              <w:t xml:space="preserve"> suggestion that Polk was seeking to “take advantage of a </w:t>
            </w:r>
            <w:proofErr w:type="spellStart"/>
            <w:r>
              <w:t>neighbouring</w:t>
            </w:r>
            <w:proofErr w:type="spellEnd"/>
            <w:r>
              <w:t xml:space="preserve"> country whose political and economic weakness he despised and whose possessions he converted” may demonstrate the greater significance of external factors on the conflict.</w:t>
            </w:r>
            <w:r>
              <w:rPr>
                <w:rStyle w:val="FootnoteReference"/>
              </w:rPr>
              <w:footnoteReference w:id="6"/>
            </w:r>
          </w:p>
          <w:p w14:paraId="24B5FFF3" w14:textId="77777777" w:rsidR="00C14F2B" w:rsidRDefault="00C14F2B" w:rsidP="00C14F2B">
            <w:pPr>
              <w:contextualSpacing/>
            </w:pPr>
          </w:p>
          <w:p w14:paraId="15FA8D05" w14:textId="77777777" w:rsidR="00C14F2B" w:rsidRDefault="00C14F2B" w:rsidP="00C14F2B">
            <w:pPr>
              <w:contextualSpacing/>
            </w:pPr>
            <w:r>
              <w:t>Or here</w:t>
            </w:r>
          </w:p>
          <w:p w14:paraId="5D460643" w14:textId="77777777" w:rsidR="00C14F2B" w:rsidRDefault="00C14F2B" w:rsidP="00C14F2B">
            <w:pPr>
              <w:contextualSpacing/>
            </w:pPr>
          </w:p>
          <w:p w14:paraId="626B16D3" w14:textId="77777777" w:rsidR="00C14F2B" w:rsidRDefault="00C14F2B" w:rsidP="00C14F2B">
            <w:pPr>
              <w:contextualSpacing/>
              <w:rPr>
                <w:rFonts w:ascii="Times New Roman" w:hAnsi="Times New Roman" w:cs="Times New Roman"/>
                <w:lang w:eastAsia="en-GB"/>
              </w:rPr>
            </w:pPr>
            <w:r>
              <w:t>This growth of anti-Catholic sentiment grew within the nation alongside clear beliefs that Mexicans were “racially inferior”</w:t>
            </w:r>
            <w:r>
              <w:rPr>
                <w:rStyle w:val="FootnoteReference"/>
              </w:rPr>
              <w:footnoteReference w:id="7"/>
            </w:r>
            <w:r>
              <w:t xml:space="preserve"> to white Americans. This can be seen in </w:t>
            </w:r>
            <w:proofErr w:type="spellStart"/>
            <w:r>
              <w:t>Guardino’s</w:t>
            </w:r>
            <w:proofErr w:type="spellEnd"/>
            <w:r>
              <w:t xml:space="preserve"> work when he argues that “Mexicans rejected the idea that they were inferior to Americans.” This demonstrates that these ideas were so commonly held within the United States that they had to be rebutted by the Mexicans and that these may have played a reason alongside ideas of religious superiority. </w:t>
            </w:r>
          </w:p>
          <w:p w14:paraId="7A7E553B" w14:textId="4800AEFD" w:rsidR="00C14F2B" w:rsidRDefault="00C14F2B" w:rsidP="00C14F2B">
            <w:pPr>
              <w:contextualSpacing/>
            </w:pPr>
          </w:p>
        </w:tc>
      </w:tr>
      <w:tr w:rsidR="00C14F2B" w14:paraId="19218BF7" w14:textId="77777777" w:rsidTr="00C14F2B">
        <w:tc>
          <w:tcPr>
            <w:tcW w:w="2695" w:type="dxa"/>
          </w:tcPr>
          <w:p w14:paraId="0DAAEE7C" w14:textId="0DEBB298" w:rsidR="00C14F2B" w:rsidRPr="00C14F2B" w:rsidRDefault="00C14F2B" w:rsidP="00C14F2B">
            <w:pPr>
              <w:pStyle w:val="ListParagraph"/>
              <w:numPr>
                <w:ilvl w:val="0"/>
                <w:numId w:val="1"/>
              </w:numPr>
              <w:rPr>
                <w:b/>
                <w:bCs/>
              </w:rPr>
            </w:pPr>
            <w:r>
              <w:rPr>
                <w:b/>
                <w:bCs/>
              </w:rPr>
              <w:lastRenderedPageBreak/>
              <w:t>The confusing, grammatically incorrect topic sentence</w:t>
            </w:r>
          </w:p>
        </w:tc>
        <w:tc>
          <w:tcPr>
            <w:tcW w:w="6655" w:type="dxa"/>
          </w:tcPr>
          <w:p w14:paraId="262F3448" w14:textId="77777777" w:rsidR="00C14F2B" w:rsidRPr="00703C40" w:rsidRDefault="00C14F2B" w:rsidP="00C14F2B">
            <w:pPr>
              <w:contextualSpacing/>
              <w:rPr>
                <w:b/>
                <w:bCs/>
              </w:rPr>
            </w:pPr>
            <w:r>
              <w:rPr>
                <w:rFonts w:ascii="Times New Roman" w:hAnsi="Times New Roman" w:cs="Times New Roman"/>
              </w:rPr>
              <w:t>Although women being involved in the army was good in the changing of the perception of women throughout the revolution period. Some women got involved in a way which can be argued that it halted and prevented the perception of women from changing</w:t>
            </w:r>
          </w:p>
          <w:p w14:paraId="718BBEBF" w14:textId="77777777" w:rsidR="00C14F2B" w:rsidRDefault="00C14F2B" w:rsidP="00C14F2B">
            <w:pPr>
              <w:contextualSpacing/>
            </w:pPr>
          </w:p>
        </w:tc>
      </w:tr>
      <w:tr w:rsidR="00C14F2B" w14:paraId="32FBB418" w14:textId="77777777" w:rsidTr="00C14F2B">
        <w:tc>
          <w:tcPr>
            <w:tcW w:w="2695" w:type="dxa"/>
          </w:tcPr>
          <w:p w14:paraId="37034FD5" w14:textId="77777777" w:rsidR="00C14F2B" w:rsidRPr="00C14F2B" w:rsidRDefault="00C14F2B" w:rsidP="00C14F2B">
            <w:pPr>
              <w:contextualSpacing/>
              <w:rPr>
                <w:b/>
                <w:bCs/>
              </w:rPr>
            </w:pPr>
          </w:p>
        </w:tc>
        <w:tc>
          <w:tcPr>
            <w:tcW w:w="6655" w:type="dxa"/>
          </w:tcPr>
          <w:p w14:paraId="151A74B3" w14:textId="77777777" w:rsidR="00C14F2B" w:rsidRDefault="00C14F2B" w:rsidP="00C14F2B">
            <w:pPr>
              <w:contextualSpacing/>
            </w:pPr>
          </w:p>
        </w:tc>
      </w:tr>
      <w:tr w:rsidR="00C14F2B" w14:paraId="2CC77226" w14:textId="77777777" w:rsidTr="00C14F2B">
        <w:tc>
          <w:tcPr>
            <w:tcW w:w="2695" w:type="dxa"/>
          </w:tcPr>
          <w:p w14:paraId="7D38D7FA" w14:textId="77777777" w:rsidR="00C14F2B" w:rsidRPr="00C14F2B" w:rsidRDefault="00C14F2B" w:rsidP="00C14F2B">
            <w:pPr>
              <w:contextualSpacing/>
              <w:rPr>
                <w:b/>
                <w:bCs/>
              </w:rPr>
            </w:pPr>
          </w:p>
        </w:tc>
        <w:tc>
          <w:tcPr>
            <w:tcW w:w="6655" w:type="dxa"/>
          </w:tcPr>
          <w:p w14:paraId="08C29B2B" w14:textId="77777777" w:rsidR="00C14F2B" w:rsidRDefault="00C14F2B" w:rsidP="00C14F2B">
            <w:pPr>
              <w:contextualSpacing/>
            </w:pPr>
          </w:p>
        </w:tc>
      </w:tr>
      <w:tr w:rsidR="00C14F2B" w14:paraId="0FA0E2E5" w14:textId="77777777" w:rsidTr="00C14F2B">
        <w:tc>
          <w:tcPr>
            <w:tcW w:w="2695" w:type="dxa"/>
          </w:tcPr>
          <w:p w14:paraId="7A72F81D" w14:textId="77777777" w:rsidR="00C14F2B" w:rsidRPr="00C14F2B" w:rsidRDefault="00C14F2B" w:rsidP="00C14F2B">
            <w:pPr>
              <w:contextualSpacing/>
              <w:rPr>
                <w:b/>
                <w:bCs/>
              </w:rPr>
            </w:pPr>
          </w:p>
        </w:tc>
        <w:tc>
          <w:tcPr>
            <w:tcW w:w="6655" w:type="dxa"/>
          </w:tcPr>
          <w:p w14:paraId="27A56859" w14:textId="77777777" w:rsidR="00C14F2B" w:rsidRDefault="00C14F2B" w:rsidP="00C14F2B">
            <w:pPr>
              <w:contextualSpacing/>
            </w:pPr>
          </w:p>
        </w:tc>
      </w:tr>
      <w:tr w:rsidR="00C14F2B" w14:paraId="59CF7ADF" w14:textId="77777777" w:rsidTr="00C14F2B">
        <w:tc>
          <w:tcPr>
            <w:tcW w:w="2695" w:type="dxa"/>
          </w:tcPr>
          <w:p w14:paraId="2A2D2663" w14:textId="77777777" w:rsidR="00C14F2B" w:rsidRPr="00C14F2B" w:rsidRDefault="00C14F2B" w:rsidP="00C14F2B">
            <w:pPr>
              <w:contextualSpacing/>
              <w:rPr>
                <w:b/>
                <w:bCs/>
              </w:rPr>
            </w:pPr>
          </w:p>
        </w:tc>
        <w:tc>
          <w:tcPr>
            <w:tcW w:w="6655" w:type="dxa"/>
          </w:tcPr>
          <w:p w14:paraId="21266A79" w14:textId="77777777" w:rsidR="00C14F2B" w:rsidRDefault="00C14F2B" w:rsidP="00C14F2B">
            <w:pPr>
              <w:contextualSpacing/>
            </w:pPr>
          </w:p>
        </w:tc>
      </w:tr>
      <w:tr w:rsidR="00C14F2B" w14:paraId="7005D8AD" w14:textId="77777777" w:rsidTr="00C14F2B">
        <w:tc>
          <w:tcPr>
            <w:tcW w:w="2695" w:type="dxa"/>
          </w:tcPr>
          <w:p w14:paraId="07A9B1D4" w14:textId="77777777" w:rsidR="00C14F2B" w:rsidRPr="00C14F2B" w:rsidRDefault="00C14F2B" w:rsidP="00C14F2B">
            <w:pPr>
              <w:contextualSpacing/>
              <w:rPr>
                <w:b/>
                <w:bCs/>
              </w:rPr>
            </w:pPr>
          </w:p>
        </w:tc>
        <w:tc>
          <w:tcPr>
            <w:tcW w:w="6655" w:type="dxa"/>
          </w:tcPr>
          <w:p w14:paraId="1417CC50" w14:textId="77777777" w:rsidR="00C14F2B" w:rsidRDefault="00C14F2B" w:rsidP="00C14F2B">
            <w:pPr>
              <w:contextualSpacing/>
            </w:pPr>
          </w:p>
        </w:tc>
      </w:tr>
      <w:tr w:rsidR="00C14F2B" w14:paraId="321ECB25" w14:textId="77777777" w:rsidTr="00C14F2B">
        <w:tc>
          <w:tcPr>
            <w:tcW w:w="2695" w:type="dxa"/>
          </w:tcPr>
          <w:p w14:paraId="2B5646DB" w14:textId="77777777" w:rsidR="00C14F2B" w:rsidRPr="00C14F2B" w:rsidRDefault="00C14F2B" w:rsidP="00C14F2B">
            <w:pPr>
              <w:contextualSpacing/>
              <w:rPr>
                <w:b/>
                <w:bCs/>
              </w:rPr>
            </w:pPr>
          </w:p>
        </w:tc>
        <w:tc>
          <w:tcPr>
            <w:tcW w:w="6655" w:type="dxa"/>
          </w:tcPr>
          <w:p w14:paraId="27E90984" w14:textId="77777777" w:rsidR="00C14F2B" w:rsidRDefault="00C14F2B" w:rsidP="00C14F2B">
            <w:pPr>
              <w:contextualSpacing/>
            </w:pPr>
          </w:p>
        </w:tc>
      </w:tr>
      <w:tr w:rsidR="00C14F2B" w14:paraId="7167BABE" w14:textId="77777777" w:rsidTr="00C14F2B">
        <w:tc>
          <w:tcPr>
            <w:tcW w:w="2695" w:type="dxa"/>
          </w:tcPr>
          <w:p w14:paraId="62641B23" w14:textId="77777777" w:rsidR="00C14F2B" w:rsidRPr="00C14F2B" w:rsidRDefault="00C14F2B" w:rsidP="00C14F2B">
            <w:pPr>
              <w:contextualSpacing/>
              <w:rPr>
                <w:b/>
                <w:bCs/>
              </w:rPr>
            </w:pPr>
          </w:p>
        </w:tc>
        <w:tc>
          <w:tcPr>
            <w:tcW w:w="6655" w:type="dxa"/>
          </w:tcPr>
          <w:p w14:paraId="3571FF9B" w14:textId="77777777" w:rsidR="00C14F2B" w:rsidRDefault="00C14F2B" w:rsidP="00C14F2B">
            <w:pPr>
              <w:contextualSpacing/>
            </w:pPr>
          </w:p>
        </w:tc>
      </w:tr>
      <w:tr w:rsidR="00C14F2B" w14:paraId="6EF048D0" w14:textId="77777777" w:rsidTr="00C14F2B">
        <w:tc>
          <w:tcPr>
            <w:tcW w:w="2695" w:type="dxa"/>
          </w:tcPr>
          <w:p w14:paraId="3373F845" w14:textId="77777777" w:rsidR="00C14F2B" w:rsidRPr="00C14F2B" w:rsidRDefault="00C14F2B" w:rsidP="00C14F2B">
            <w:pPr>
              <w:contextualSpacing/>
              <w:rPr>
                <w:b/>
                <w:bCs/>
              </w:rPr>
            </w:pPr>
          </w:p>
        </w:tc>
        <w:tc>
          <w:tcPr>
            <w:tcW w:w="6655" w:type="dxa"/>
          </w:tcPr>
          <w:p w14:paraId="0308429E" w14:textId="77777777" w:rsidR="00C14F2B" w:rsidRDefault="00C14F2B" w:rsidP="00C14F2B">
            <w:pPr>
              <w:contextualSpacing/>
            </w:pPr>
          </w:p>
        </w:tc>
      </w:tr>
      <w:tr w:rsidR="00C14F2B" w14:paraId="1718F969" w14:textId="77777777" w:rsidTr="00C14F2B">
        <w:tc>
          <w:tcPr>
            <w:tcW w:w="2695" w:type="dxa"/>
          </w:tcPr>
          <w:p w14:paraId="13265438" w14:textId="77777777" w:rsidR="00C14F2B" w:rsidRPr="00C14F2B" w:rsidRDefault="00C14F2B" w:rsidP="00C14F2B">
            <w:pPr>
              <w:contextualSpacing/>
              <w:rPr>
                <w:b/>
                <w:bCs/>
              </w:rPr>
            </w:pPr>
          </w:p>
        </w:tc>
        <w:tc>
          <w:tcPr>
            <w:tcW w:w="6655" w:type="dxa"/>
          </w:tcPr>
          <w:p w14:paraId="4079AE1A" w14:textId="77777777" w:rsidR="00C14F2B" w:rsidRDefault="00C14F2B" w:rsidP="00C14F2B">
            <w:pPr>
              <w:contextualSpacing/>
            </w:pPr>
          </w:p>
        </w:tc>
      </w:tr>
      <w:tr w:rsidR="00C14F2B" w14:paraId="15DB492E" w14:textId="77777777" w:rsidTr="00C14F2B">
        <w:tc>
          <w:tcPr>
            <w:tcW w:w="2695" w:type="dxa"/>
          </w:tcPr>
          <w:p w14:paraId="3424DC14" w14:textId="77777777" w:rsidR="00C14F2B" w:rsidRPr="00C14F2B" w:rsidRDefault="00C14F2B" w:rsidP="00C14F2B">
            <w:pPr>
              <w:contextualSpacing/>
              <w:rPr>
                <w:b/>
                <w:bCs/>
              </w:rPr>
            </w:pPr>
          </w:p>
        </w:tc>
        <w:tc>
          <w:tcPr>
            <w:tcW w:w="6655" w:type="dxa"/>
          </w:tcPr>
          <w:p w14:paraId="051BC82E" w14:textId="77777777" w:rsidR="00C14F2B" w:rsidRDefault="00C14F2B" w:rsidP="00C14F2B">
            <w:pPr>
              <w:contextualSpacing/>
            </w:pPr>
          </w:p>
        </w:tc>
      </w:tr>
      <w:tr w:rsidR="00C14F2B" w14:paraId="40F094DF" w14:textId="77777777" w:rsidTr="00C14F2B">
        <w:tc>
          <w:tcPr>
            <w:tcW w:w="2695" w:type="dxa"/>
          </w:tcPr>
          <w:p w14:paraId="18933398" w14:textId="77777777" w:rsidR="00C14F2B" w:rsidRPr="00C14F2B" w:rsidRDefault="00C14F2B" w:rsidP="00C14F2B">
            <w:pPr>
              <w:contextualSpacing/>
              <w:rPr>
                <w:b/>
                <w:bCs/>
              </w:rPr>
            </w:pPr>
          </w:p>
        </w:tc>
        <w:tc>
          <w:tcPr>
            <w:tcW w:w="6655" w:type="dxa"/>
          </w:tcPr>
          <w:p w14:paraId="622F0570" w14:textId="77777777" w:rsidR="00C14F2B" w:rsidRDefault="00C14F2B" w:rsidP="00C14F2B">
            <w:pPr>
              <w:contextualSpacing/>
            </w:pPr>
          </w:p>
        </w:tc>
      </w:tr>
      <w:tr w:rsidR="00C14F2B" w14:paraId="3D0D5F78" w14:textId="77777777" w:rsidTr="00C14F2B">
        <w:tc>
          <w:tcPr>
            <w:tcW w:w="2695" w:type="dxa"/>
          </w:tcPr>
          <w:p w14:paraId="688BFA2A" w14:textId="77777777" w:rsidR="00C14F2B" w:rsidRPr="00C14F2B" w:rsidRDefault="00C14F2B" w:rsidP="00C14F2B">
            <w:pPr>
              <w:contextualSpacing/>
              <w:rPr>
                <w:b/>
                <w:bCs/>
              </w:rPr>
            </w:pPr>
          </w:p>
        </w:tc>
        <w:tc>
          <w:tcPr>
            <w:tcW w:w="6655" w:type="dxa"/>
          </w:tcPr>
          <w:p w14:paraId="5D08FE37" w14:textId="77777777" w:rsidR="00C14F2B" w:rsidRDefault="00C14F2B" w:rsidP="00C14F2B">
            <w:pPr>
              <w:contextualSpacing/>
            </w:pPr>
          </w:p>
        </w:tc>
      </w:tr>
      <w:tr w:rsidR="00C14F2B" w14:paraId="6D610529" w14:textId="77777777" w:rsidTr="00C14F2B">
        <w:tc>
          <w:tcPr>
            <w:tcW w:w="2695" w:type="dxa"/>
          </w:tcPr>
          <w:p w14:paraId="4514501E" w14:textId="06ADDAF0" w:rsidR="00C14F2B" w:rsidRPr="00C14F2B" w:rsidRDefault="00C14F2B" w:rsidP="00C14F2B">
            <w:pPr>
              <w:pStyle w:val="ListParagraph"/>
              <w:numPr>
                <w:ilvl w:val="0"/>
                <w:numId w:val="2"/>
              </w:numPr>
              <w:rPr>
                <w:b/>
                <w:bCs/>
              </w:rPr>
            </w:pPr>
            <w:r>
              <w:rPr>
                <w:b/>
                <w:bCs/>
              </w:rPr>
              <w:t>Excellent use of contemporary evidence</w:t>
            </w:r>
          </w:p>
        </w:tc>
        <w:tc>
          <w:tcPr>
            <w:tcW w:w="6655" w:type="dxa"/>
          </w:tcPr>
          <w:p w14:paraId="4C2ACA98" w14:textId="77777777" w:rsidR="00C14F2B" w:rsidRDefault="00C14F2B" w:rsidP="00C14F2B">
            <w:pPr>
              <w:contextualSpacing/>
              <w:rPr>
                <w:rFonts w:ascii="Times New Roman" w:hAnsi="Times New Roman" w:cs="Times New Roman"/>
              </w:rPr>
            </w:pPr>
            <w:r>
              <w:rPr>
                <w:rFonts w:ascii="Times New Roman" w:hAnsi="Times New Roman" w:cs="Times New Roman"/>
              </w:rPr>
              <w:t xml:space="preserve">One of the key factors for Mexico’s move to independence was economic. Mexico had been a Spanish colony since 1519 and it provided a large portion funding for imperial Spain’s ventures. Most of the revenue that was produced through Mexico’s lucrative mining industry was </w:t>
            </w:r>
            <w:proofErr w:type="spellStart"/>
            <w:r>
              <w:rPr>
                <w:rFonts w:ascii="Times New Roman" w:hAnsi="Times New Roman" w:cs="Times New Roman"/>
              </w:rPr>
              <w:t>funnelled</w:t>
            </w:r>
            <w:proofErr w:type="spellEnd"/>
            <w:r>
              <w:rPr>
                <w:rFonts w:ascii="Times New Roman" w:hAnsi="Times New Roman" w:cs="Times New Roman"/>
              </w:rPr>
              <w:t xml:space="preserve"> out of the country to the mainland, with Mexico rarely reaping the benefits.</w:t>
            </w:r>
            <w:r>
              <w:rPr>
                <w:rStyle w:val="FootnoteReference"/>
                <w:rFonts w:ascii="Times New Roman" w:hAnsi="Times New Roman" w:cs="Times New Roman"/>
              </w:rPr>
              <w:footnoteReference w:id="8"/>
            </w:r>
            <w:r>
              <w:rPr>
                <w:rFonts w:ascii="Times New Roman" w:hAnsi="Times New Roman" w:cs="Times New Roman"/>
              </w:rPr>
              <w:t xml:space="preserve"> Spain’s diminishing imperial power meant it became more reliant on Mexico’s wealth, which further damaged the Mexican economy and surmounted huge debts. Those that did benefit were the ‘small circle of businessmen [that] dominated the principal economic activities of eighteenth-century New Spain’.</w:t>
            </w:r>
            <w:r>
              <w:rPr>
                <w:rStyle w:val="FootnoteReference"/>
                <w:rFonts w:ascii="Times New Roman" w:hAnsi="Times New Roman" w:cs="Times New Roman"/>
              </w:rPr>
              <w:footnoteReference w:id="9"/>
            </w:r>
            <w:r>
              <w:rPr>
                <w:rFonts w:ascii="Times New Roman" w:hAnsi="Times New Roman" w:cs="Times New Roman"/>
              </w:rPr>
              <w:t xml:space="preserve"> Mine owners enjoyed tax cuts and privileges while the workers suffered due to the increased pressure on the industry, showing how economic disparities generated a feeling of discontent amongst the lower classes. </w:t>
            </w:r>
            <w:r>
              <w:rPr>
                <w:rStyle w:val="FootnoteReference"/>
                <w:rFonts w:ascii="Times New Roman" w:hAnsi="Times New Roman" w:cs="Times New Roman"/>
              </w:rPr>
              <w:footnoteReference w:id="10"/>
            </w:r>
          </w:p>
          <w:p w14:paraId="400B8C7F" w14:textId="77777777" w:rsidR="00C14F2B" w:rsidRDefault="00C14F2B" w:rsidP="00C14F2B">
            <w:pPr>
              <w:contextualSpacing/>
            </w:pPr>
          </w:p>
          <w:p w14:paraId="31522301" w14:textId="77777777" w:rsidR="00C14F2B" w:rsidRDefault="00C14F2B" w:rsidP="00C14F2B">
            <w:pPr>
              <w:contextualSpacing/>
            </w:pPr>
            <w:r>
              <w:t>Or here</w:t>
            </w:r>
          </w:p>
          <w:p w14:paraId="549594EB" w14:textId="77777777" w:rsidR="00C14F2B" w:rsidRDefault="00C14F2B" w:rsidP="00C14F2B">
            <w:pPr>
              <w:contextualSpacing/>
            </w:pPr>
          </w:p>
          <w:p w14:paraId="63EB5196" w14:textId="77777777" w:rsidR="00C14F2B" w:rsidRDefault="00C14F2B" w:rsidP="00C14F2B">
            <w:pPr>
              <w:contextualSpacing/>
            </w:pPr>
          </w:p>
          <w:p w14:paraId="06D55927" w14:textId="52C759E5" w:rsidR="00C14F2B" w:rsidRDefault="00C14F2B" w:rsidP="00C14F2B">
            <w:pPr>
              <w:contextualSpacing/>
              <w:rPr>
                <w:rFonts w:cstheme="minorHAnsi"/>
              </w:rPr>
            </w:pPr>
            <w:r>
              <w:rPr>
                <w:rFonts w:cstheme="minorHAnsi"/>
              </w:rPr>
              <w:t xml:space="preserve">To be Black was undesirable in both countries. To be labelled mulatto by </w:t>
            </w:r>
            <w:proofErr w:type="spellStart"/>
            <w:r>
              <w:rPr>
                <w:rFonts w:cstheme="minorHAnsi"/>
              </w:rPr>
              <w:t>naturalisation</w:t>
            </w:r>
            <w:proofErr w:type="spellEnd"/>
            <w:r>
              <w:rPr>
                <w:rFonts w:cstheme="minorHAnsi"/>
              </w:rPr>
              <w:t xml:space="preserve"> officers in the US was hence rejected </w:t>
            </w:r>
            <w:r w:rsidR="00B5094C">
              <w:rPr>
                <w:rFonts w:cstheme="minorHAnsi"/>
              </w:rPr>
              <w:t xml:space="preserve">although </w:t>
            </w:r>
            <w:r>
              <w:rPr>
                <w:rFonts w:cstheme="minorHAnsi"/>
              </w:rPr>
              <w:t>African ancestry supposedly granting US citizenship. According to Josephus Daniels, the Ambassador of Mexico, ‘nothing offends a Mexican, or any other Latin American more than being classified as colored, because they regard that as putting them in the same classification as negro’.</w:t>
            </w:r>
            <w:r>
              <w:rPr>
                <w:rStyle w:val="FootnoteReference"/>
                <w:rFonts w:cstheme="minorHAnsi"/>
              </w:rPr>
              <w:footnoteReference w:id="11"/>
            </w:r>
          </w:p>
          <w:p w14:paraId="78740ED8" w14:textId="77777777" w:rsidR="00C14F2B" w:rsidRDefault="00C14F2B" w:rsidP="00C14F2B">
            <w:pPr>
              <w:contextualSpacing/>
              <w:rPr>
                <w:rFonts w:cstheme="minorHAnsi"/>
              </w:rPr>
            </w:pPr>
          </w:p>
          <w:p w14:paraId="724FE1E6" w14:textId="77777777" w:rsidR="00C14F2B" w:rsidRDefault="00C14F2B" w:rsidP="00C14F2B">
            <w:pPr>
              <w:contextualSpacing/>
            </w:pPr>
            <w:r>
              <w:t>Or here</w:t>
            </w:r>
          </w:p>
          <w:p w14:paraId="1CD8EB67" w14:textId="77777777" w:rsidR="00C14F2B" w:rsidRDefault="00C14F2B" w:rsidP="00C14F2B">
            <w:pPr>
              <w:contextualSpacing/>
            </w:pPr>
          </w:p>
          <w:p w14:paraId="4481E600" w14:textId="77777777" w:rsidR="00C14F2B" w:rsidRDefault="00C14F2B" w:rsidP="00C14F2B">
            <w:pPr>
              <w:contextualSpacing/>
            </w:pPr>
          </w:p>
          <w:p w14:paraId="466154CF" w14:textId="77777777" w:rsidR="00C14F2B" w:rsidRDefault="00C14F2B" w:rsidP="00C14F2B">
            <w:pPr>
              <w:contextualSpacing/>
              <w:rPr>
                <w:rFonts w:ascii="Times New Roman" w:hAnsi="Times New Roman" w:cs="Times New Roman"/>
                <w:lang w:eastAsia="en-GB"/>
              </w:rPr>
            </w:pPr>
            <w:r>
              <w:rPr>
                <w:rFonts w:ascii="Times New Roman" w:hAnsi="Times New Roman" w:cs="Times New Roman"/>
              </w:rPr>
              <w:t xml:space="preserve">The perception of women changed during the period of the Mexican Revolution due to the volume of female solders that became involved in the Mexican army. </w:t>
            </w:r>
            <w:r>
              <w:rPr>
                <w:rFonts w:ascii="Times New Roman" w:hAnsi="Times New Roman" w:cs="Times New Roman"/>
                <w:color w:val="383838"/>
              </w:rPr>
              <w:t xml:space="preserve">Despite the consensus that </w:t>
            </w:r>
            <w:r>
              <w:rPr>
                <w:rStyle w:val="FootnoteReference"/>
                <w:rFonts w:ascii="Times New Roman" w:hAnsi="Times New Roman" w:cs="Times New Roman"/>
                <w:color w:val="383838"/>
              </w:rPr>
              <w:lastRenderedPageBreak/>
              <w:footnoteReference w:id="12"/>
            </w:r>
            <w:r>
              <w:rPr>
                <w:rFonts w:ascii="Times New Roman" w:hAnsi="Times New Roman" w:cs="Times New Roman"/>
                <w:color w:val="383838"/>
              </w:rPr>
              <w:t xml:space="preserve">“armies were no place for the gentler sex” female soldiers captured the attention of the public as they were something new that people had never seen before. They were also actively defying the stereotype that women were the “weaker sex” by equally participating in something that men were doing. Readers of newspapers followed the journeys of many women in this exciting new era that was slowly changing the perception of women. </w:t>
            </w:r>
            <w:r>
              <w:rPr>
                <w:rStyle w:val="FootnoteReference"/>
                <w:rFonts w:ascii="Times New Roman" w:hAnsi="Times New Roman" w:cs="Times New Roman"/>
                <w:color w:val="383838"/>
              </w:rPr>
              <w:footnoteReference w:id="13"/>
            </w:r>
            <w:r>
              <w:rPr>
                <w:rFonts w:ascii="Times New Roman" w:hAnsi="Times New Roman" w:cs="Times New Roman"/>
                <w:color w:val="383838"/>
              </w:rPr>
              <w:t xml:space="preserve">An example was Rosa Bobadilla who with her son commanded a cavalry unit in Morelos. </w:t>
            </w:r>
            <w:r>
              <w:rPr>
                <w:rStyle w:val="FootnoteReference"/>
                <w:rFonts w:ascii="Times New Roman" w:hAnsi="Times New Roman" w:cs="Times New Roman"/>
                <w:color w:val="383838"/>
              </w:rPr>
              <w:footnoteReference w:id="14"/>
            </w:r>
            <w:r>
              <w:rPr>
                <w:rFonts w:ascii="Times New Roman" w:hAnsi="Times New Roman" w:cs="Times New Roman"/>
                <w:color w:val="383838"/>
              </w:rPr>
              <w:t xml:space="preserve">Rosa was known was “La </w:t>
            </w:r>
            <w:proofErr w:type="spellStart"/>
            <w:r>
              <w:rPr>
                <w:rFonts w:ascii="Times New Roman" w:hAnsi="Times New Roman" w:cs="Times New Roman"/>
                <w:color w:val="383838"/>
              </w:rPr>
              <w:t>Coronela</w:t>
            </w:r>
            <w:proofErr w:type="spellEnd"/>
            <w:r>
              <w:rPr>
                <w:rFonts w:ascii="Times New Roman" w:hAnsi="Times New Roman" w:cs="Times New Roman"/>
                <w:color w:val="383838"/>
              </w:rPr>
              <w:t xml:space="preserve">” and she fought while commanding 200 peasants. Her and many other women stood up to the challenge of fighting for their country during the revolution and in addition to its being commendable these actions were the catalyst in changing the perception of women being “weaker” and the idea that they were destined to more domestic paths in life. </w:t>
            </w:r>
          </w:p>
          <w:p w14:paraId="0FEB7894" w14:textId="77777777" w:rsidR="00C14F2B" w:rsidRDefault="00C14F2B" w:rsidP="00C14F2B">
            <w:pPr>
              <w:contextualSpacing/>
            </w:pPr>
          </w:p>
          <w:p w14:paraId="37525A5A" w14:textId="57D13502" w:rsidR="00C14F2B" w:rsidRDefault="00C14F2B" w:rsidP="00C14F2B">
            <w:pPr>
              <w:contextualSpacing/>
            </w:pPr>
          </w:p>
        </w:tc>
      </w:tr>
      <w:tr w:rsidR="00C14F2B" w14:paraId="28413506" w14:textId="77777777" w:rsidTr="00C14F2B">
        <w:tc>
          <w:tcPr>
            <w:tcW w:w="2695" w:type="dxa"/>
          </w:tcPr>
          <w:p w14:paraId="199B43F5" w14:textId="71E5789F" w:rsidR="00C14F2B" w:rsidRDefault="00C14F2B" w:rsidP="00C14F2B">
            <w:pPr>
              <w:pStyle w:val="ListParagraph"/>
              <w:numPr>
                <w:ilvl w:val="0"/>
                <w:numId w:val="2"/>
              </w:numPr>
              <w:rPr>
                <w:b/>
                <w:bCs/>
              </w:rPr>
            </w:pPr>
            <w:r>
              <w:rPr>
                <w:b/>
                <w:bCs/>
              </w:rPr>
              <w:lastRenderedPageBreak/>
              <w:t xml:space="preserve">A superb </w:t>
            </w:r>
            <w:proofErr w:type="gramStart"/>
            <w:r>
              <w:rPr>
                <w:b/>
                <w:bCs/>
              </w:rPr>
              <w:t>first class</w:t>
            </w:r>
            <w:proofErr w:type="gramEnd"/>
            <w:r>
              <w:rPr>
                <w:b/>
                <w:bCs/>
              </w:rPr>
              <w:t xml:space="preserve"> introduction: good but unpretentious writing style. Excellent choice of quotation. Good use of a story to introduce theme of essay. </w:t>
            </w:r>
          </w:p>
          <w:p w14:paraId="3E0FE743" w14:textId="726EA420" w:rsidR="00C14F2B" w:rsidRPr="00C14F2B" w:rsidRDefault="00C14F2B" w:rsidP="00C14F2B">
            <w:pPr>
              <w:contextualSpacing/>
              <w:rPr>
                <w:b/>
                <w:bCs/>
              </w:rPr>
            </w:pPr>
          </w:p>
        </w:tc>
        <w:tc>
          <w:tcPr>
            <w:tcW w:w="6655" w:type="dxa"/>
          </w:tcPr>
          <w:p w14:paraId="4D8AED89" w14:textId="77777777" w:rsidR="00C14F2B" w:rsidRDefault="00C14F2B" w:rsidP="00C14F2B">
            <w:pPr>
              <w:contextualSpacing/>
              <w:jc w:val="both"/>
              <w:rPr>
                <w:rFonts w:eastAsia="Times New Roman" w:cstheme="minorHAnsi"/>
                <w:color w:val="0D0D0D" w:themeColor="text1" w:themeTint="F2"/>
                <w:shd w:val="clear" w:color="auto" w:fill="FFFFFF"/>
                <w:lang w:eastAsia="en-GB"/>
              </w:rPr>
            </w:pPr>
            <w:r>
              <w:rPr>
                <w:rFonts w:cstheme="minorHAnsi"/>
                <w:color w:val="0D0D0D" w:themeColor="text1" w:themeTint="F2"/>
              </w:rPr>
              <w:t>On the 27</w:t>
            </w:r>
            <w:r>
              <w:rPr>
                <w:rFonts w:cstheme="minorHAnsi"/>
                <w:color w:val="0D0D0D" w:themeColor="text1" w:themeTint="F2"/>
                <w:vertAlign w:val="superscript"/>
              </w:rPr>
              <w:t xml:space="preserve">th </w:t>
            </w:r>
            <w:r>
              <w:rPr>
                <w:rFonts w:cstheme="minorHAnsi"/>
                <w:color w:val="0D0D0D" w:themeColor="text1" w:themeTint="F2"/>
              </w:rPr>
              <w:t xml:space="preserve">of September 1821, a triumphant </w:t>
            </w:r>
            <w:proofErr w:type="spellStart"/>
            <w:r>
              <w:rPr>
                <w:rFonts w:eastAsia="Times New Roman" w:cstheme="minorHAnsi"/>
                <w:color w:val="0D0D0D" w:themeColor="text1" w:themeTint="F2"/>
                <w:shd w:val="clear" w:color="auto" w:fill="FFFFFF"/>
                <w:lang w:eastAsia="en-GB"/>
              </w:rPr>
              <w:t>Agustín</w:t>
            </w:r>
            <w:proofErr w:type="spellEnd"/>
            <w:r>
              <w:rPr>
                <w:rFonts w:eastAsia="Times New Roman" w:cstheme="minorHAnsi"/>
                <w:color w:val="0D0D0D" w:themeColor="text1" w:themeTint="F2"/>
                <w:shd w:val="clear" w:color="auto" w:fill="FFFFFF"/>
                <w:lang w:eastAsia="en-GB"/>
              </w:rPr>
              <w:t xml:space="preserve"> de Iturbide and his Army of Three Guarantees entered Mexico City, effectively confirming Mexican independence and bringing to an end eleven years of brutal warfare. The historic moment seemingly captured an entire nation hopes, and many Mexicans had high expectations for the future of their resource-rich country, now free from Spanish exploitation. Just two decades later, this general enthusiasm had all but dissipated. The newfound pessimism that had emerged was perhaps best embodied by the former idealist José Maria </w:t>
            </w:r>
            <w:proofErr w:type="spellStart"/>
            <w:r>
              <w:rPr>
                <w:rFonts w:eastAsia="Times New Roman" w:cstheme="minorHAnsi"/>
                <w:color w:val="0D0D0D" w:themeColor="text1" w:themeTint="F2"/>
                <w:shd w:val="clear" w:color="auto" w:fill="FFFFFF"/>
                <w:lang w:eastAsia="en-GB"/>
              </w:rPr>
              <w:t>Tornel</w:t>
            </w:r>
            <w:proofErr w:type="spellEnd"/>
            <w:r>
              <w:rPr>
                <w:rFonts w:eastAsia="Times New Roman" w:cstheme="minorHAnsi"/>
                <w:color w:val="0D0D0D" w:themeColor="text1" w:themeTint="F2"/>
                <w:shd w:val="clear" w:color="auto" w:fill="FFFFFF"/>
                <w:lang w:eastAsia="en-GB"/>
              </w:rPr>
              <w:t xml:space="preserve"> who, whilst commemorating the 30</w:t>
            </w:r>
            <w:r>
              <w:rPr>
                <w:rFonts w:eastAsia="Times New Roman" w:cstheme="minorHAnsi"/>
                <w:color w:val="0D0D0D" w:themeColor="text1" w:themeTint="F2"/>
                <w:shd w:val="clear" w:color="auto" w:fill="FFFFFF"/>
                <w:vertAlign w:val="superscript"/>
                <w:lang w:eastAsia="en-GB"/>
              </w:rPr>
              <w:t>th</w:t>
            </w:r>
            <w:r>
              <w:rPr>
                <w:rFonts w:eastAsia="Times New Roman" w:cstheme="minorHAnsi"/>
                <w:color w:val="0D0D0D" w:themeColor="text1" w:themeTint="F2"/>
                <w:shd w:val="clear" w:color="auto" w:fill="FFFFFF"/>
                <w:lang w:eastAsia="en-GB"/>
              </w:rPr>
              <w:t xml:space="preserve"> anniversary of the Independence War’s eruption, took the time to bemoan the ‘thirty years of constant suffering’ that ‘The Mexican nation, mutilated and ill,’ had been subjected to.</w:t>
            </w:r>
            <w:r>
              <w:rPr>
                <w:rStyle w:val="FootnoteReference"/>
                <w:rFonts w:eastAsia="Times New Roman" w:cstheme="minorHAnsi"/>
                <w:color w:val="0D0D0D" w:themeColor="text1" w:themeTint="F2"/>
                <w:shd w:val="clear" w:color="auto" w:fill="FFFFFF"/>
                <w:lang w:eastAsia="en-GB"/>
              </w:rPr>
              <w:footnoteReference w:id="15"/>
            </w:r>
            <w:r>
              <w:rPr>
                <w:rFonts w:eastAsia="Times New Roman" w:cstheme="minorHAnsi"/>
                <w:color w:val="0D0D0D" w:themeColor="text1" w:themeTint="F2"/>
                <w:shd w:val="clear" w:color="auto" w:fill="FFFFFF"/>
                <w:lang w:eastAsia="en-GB"/>
              </w:rPr>
              <w:t xml:space="preserve"> </w:t>
            </w:r>
            <w:proofErr w:type="spellStart"/>
            <w:r>
              <w:rPr>
                <w:rFonts w:eastAsia="Times New Roman" w:cstheme="minorHAnsi"/>
                <w:color w:val="0D0D0D" w:themeColor="text1" w:themeTint="F2"/>
                <w:shd w:val="clear" w:color="auto" w:fill="FFFFFF"/>
                <w:lang w:eastAsia="en-GB"/>
              </w:rPr>
              <w:t>Tornel</w:t>
            </w:r>
            <w:proofErr w:type="spellEnd"/>
            <w:r>
              <w:rPr>
                <w:rFonts w:eastAsia="Times New Roman" w:cstheme="minorHAnsi"/>
                <w:color w:val="0D0D0D" w:themeColor="text1" w:themeTint="F2"/>
                <w:shd w:val="clear" w:color="auto" w:fill="FFFFFF"/>
                <w:lang w:eastAsia="en-GB"/>
              </w:rPr>
              <w:t xml:space="preserve"> had good reason to be defeatist. In the years 1821-46, Mexico languished through a near-constant period of insurrection and a severely weakened monied economy. Throughout this essay, I will be seeking to illustrate the reasons behind post-Independence Mexico’s political instability, which primarily stemmed from a lack of governmental and constitutional legitimacy, as well as the </w:t>
            </w:r>
            <w:proofErr w:type="spellStart"/>
            <w:r>
              <w:rPr>
                <w:rFonts w:eastAsia="Times New Roman" w:cstheme="minorHAnsi"/>
                <w:color w:val="0D0D0D" w:themeColor="text1" w:themeTint="F2"/>
                <w:shd w:val="clear" w:color="auto" w:fill="FFFFFF"/>
                <w:lang w:eastAsia="en-GB"/>
              </w:rPr>
              <w:lastRenderedPageBreak/>
              <w:t>polarisation</w:t>
            </w:r>
            <w:proofErr w:type="spellEnd"/>
            <w:r>
              <w:rPr>
                <w:rFonts w:eastAsia="Times New Roman" w:cstheme="minorHAnsi"/>
                <w:color w:val="0D0D0D" w:themeColor="text1" w:themeTint="F2"/>
                <w:shd w:val="clear" w:color="auto" w:fill="FFFFFF"/>
                <w:lang w:eastAsia="en-GB"/>
              </w:rPr>
              <w:t xml:space="preserve"> that existed between the ‘Federalist’ and ‘Centralist’ factions. Poor fiscal performance and socio-ethnic tensions would also play a role in further </w:t>
            </w:r>
            <w:proofErr w:type="spellStart"/>
            <w:r>
              <w:rPr>
                <w:rFonts w:eastAsia="Times New Roman" w:cstheme="minorHAnsi"/>
                <w:color w:val="0D0D0D" w:themeColor="text1" w:themeTint="F2"/>
                <w:shd w:val="clear" w:color="auto" w:fill="FFFFFF"/>
                <w:lang w:eastAsia="en-GB"/>
              </w:rPr>
              <w:t>fuelling</w:t>
            </w:r>
            <w:proofErr w:type="spellEnd"/>
            <w:r>
              <w:rPr>
                <w:rFonts w:eastAsia="Times New Roman" w:cstheme="minorHAnsi"/>
                <w:color w:val="0D0D0D" w:themeColor="text1" w:themeTint="F2"/>
                <w:shd w:val="clear" w:color="auto" w:fill="FFFFFF"/>
                <w:lang w:eastAsia="en-GB"/>
              </w:rPr>
              <w:t xml:space="preserve"> instability. From all these factors, a continuous cycle of revolutionary action emerged, that arguably would not end until the ‘</w:t>
            </w:r>
            <w:proofErr w:type="spellStart"/>
            <w:r>
              <w:rPr>
                <w:rFonts w:eastAsia="Times New Roman" w:cstheme="minorHAnsi"/>
                <w:color w:val="0D0D0D" w:themeColor="text1" w:themeTint="F2"/>
                <w:shd w:val="clear" w:color="auto" w:fill="FFFFFF"/>
                <w:lang w:eastAsia="en-GB"/>
              </w:rPr>
              <w:t>Porfiriato’s</w:t>
            </w:r>
            <w:proofErr w:type="spellEnd"/>
            <w:r>
              <w:rPr>
                <w:rFonts w:eastAsia="Times New Roman" w:cstheme="minorHAnsi"/>
                <w:color w:val="0D0D0D" w:themeColor="text1" w:themeTint="F2"/>
                <w:shd w:val="clear" w:color="auto" w:fill="FFFFFF"/>
                <w:lang w:eastAsia="en-GB"/>
              </w:rPr>
              <w:t xml:space="preserve">’ establishment in 1876. </w:t>
            </w:r>
          </w:p>
          <w:p w14:paraId="0327C870" w14:textId="77777777" w:rsidR="00C14F2B" w:rsidRDefault="00C14F2B" w:rsidP="00C14F2B">
            <w:pPr>
              <w:contextualSpacing/>
            </w:pPr>
          </w:p>
        </w:tc>
      </w:tr>
      <w:tr w:rsidR="00C14F2B" w14:paraId="33D6B657" w14:textId="77777777" w:rsidTr="00C14F2B">
        <w:tc>
          <w:tcPr>
            <w:tcW w:w="2695" w:type="dxa"/>
          </w:tcPr>
          <w:p w14:paraId="689BF3D5" w14:textId="4978DF4E" w:rsidR="00C14F2B" w:rsidRPr="00C14F2B" w:rsidRDefault="00C14F2B" w:rsidP="00C14F2B">
            <w:pPr>
              <w:pStyle w:val="ListParagraph"/>
              <w:numPr>
                <w:ilvl w:val="0"/>
                <w:numId w:val="2"/>
              </w:numPr>
              <w:rPr>
                <w:b/>
                <w:bCs/>
              </w:rPr>
            </w:pPr>
            <w:r>
              <w:rPr>
                <w:b/>
                <w:bCs/>
              </w:rPr>
              <w:lastRenderedPageBreak/>
              <w:t xml:space="preserve">A classic high 2.1 introduction. Short but clear </w:t>
            </w:r>
          </w:p>
        </w:tc>
        <w:tc>
          <w:tcPr>
            <w:tcW w:w="6655" w:type="dxa"/>
          </w:tcPr>
          <w:p w14:paraId="519AAAEC" w14:textId="77777777" w:rsidR="00C14F2B" w:rsidRDefault="00C14F2B" w:rsidP="00C14F2B">
            <w:pPr>
              <w:contextualSpacing/>
              <w:rPr>
                <w:rFonts w:ascii="Times New Roman" w:hAnsi="Times New Roman" w:cs="Times New Roman"/>
              </w:rPr>
            </w:pPr>
            <w:r>
              <w:rPr>
                <w:rFonts w:ascii="Times New Roman" w:hAnsi="Times New Roman" w:cs="Times New Roman"/>
              </w:rPr>
              <w:t>The Mexican American war was a conflict between 1846-1848 which resulted in the US acquisition of large swathes of Mexican land. There is no historical consensus over the motivated the war, but the factors discussed in this essay will be Texas’s independence and annexation by the US, US desires to acquire Mexican land driven and the ideological and commercial motives behind this, and the actions of President James Polk. This essay will argue the strength of Polk’s will and ability to manipulate Congress into supporting the war is the main reason that conflict broke out in 1846.</w:t>
            </w:r>
          </w:p>
          <w:p w14:paraId="3A4C6C3A" w14:textId="29BDD2A2" w:rsidR="00C14F2B" w:rsidRDefault="00C14F2B" w:rsidP="00C14F2B">
            <w:pPr>
              <w:contextualSpacing/>
            </w:pPr>
          </w:p>
          <w:p w14:paraId="72464C0B" w14:textId="67D21BBA" w:rsidR="00C14F2B" w:rsidRDefault="00C14F2B" w:rsidP="00C14F2B">
            <w:pPr>
              <w:contextualSpacing/>
            </w:pPr>
            <w:r>
              <w:t xml:space="preserve">Or </w:t>
            </w:r>
          </w:p>
          <w:p w14:paraId="027E8A49" w14:textId="77777777" w:rsidR="00C14F2B" w:rsidRDefault="00C14F2B" w:rsidP="00C14F2B">
            <w:pPr>
              <w:contextualSpacing/>
            </w:pPr>
          </w:p>
          <w:p w14:paraId="20E0ADF6" w14:textId="632CF973" w:rsidR="00C14F2B" w:rsidRDefault="00C14F2B" w:rsidP="00C14F2B">
            <w:pPr>
              <w:contextualSpacing/>
              <w:rPr>
                <w:rFonts w:ascii="Times New Roman" w:hAnsi="Times New Roman" w:cs="Times New Roman"/>
              </w:rPr>
            </w:pPr>
            <w:r>
              <w:rPr>
                <w:rFonts w:ascii="Times New Roman" w:hAnsi="Times New Roman" w:cs="Times New Roman"/>
              </w:rPr>
              <w:t xml:space="preserve">There are many ways in which the perception of women changed during the period of the Mexican revolution. The high number of female soldiers that drafted themselves into the army permitted the perception of women to change. They proved that women could do the same tasks as men – especially in such a high-pressure environment and diminished the idea that women were the “weaker” sex. On the other hand, the perception of women did not change too much during the period of the Mexican Revolution due to the role of the Soldaderas. They completed domestic tasks and conformed to societies expectations of women – the sole different was that it was in a location away from home. Finally, the rise in female activism and outspokenness was impressive and inspiring. Women permitted themselves to have a voice and speak out against a society that had expectations which solely </w:t>
            </w:r>
            <w:proofErr w:type="spellStart"/>
            <w:r>
              <w:rPr>
                <w:rFonts w:ascii="Times New Roman" w:hAnsi="Times New Roman" w:cs="Times New Roman"/>
              </w:rPr>
              <w:t>favoured</w:t>
            </w:r>
            <w:proofErr w:type="spellEnd"/>
            <w:r>
              <w:rPr>
                <w:rFonts w:ascii="Times New Roman" w:hAnsi="Times New Roman" w:cs="Times New Roman"/>
              </w:rPr>
              <w:t xml:space="preserve"> men and their needs. </w:t>
            </w:r>
          </w:p>
          <w:p w14:paraId="41E61C41" w14:textId="4686BEA4" w:rsidR="00C14F2B" w:rsidRDefault="00C14F2B" w:rsidP="00C14F2B">
            <w:pPr>
              <w:contextualSpacing/>
            </w:pPr>
          </w:p>
        </w:tc>
      </w:tr>
    </w:tbl>
    <w:p w14:paraId="4007FA72" w14:textId="0B515065" w:rsidR="00C14F2B" w:rsidRDefault="00C14F2B" w:rsidP="00C14F2B">
      <w:pPr>
        <w:contextualSpacing/>
      </w:pPr>
    </w:p>
    <w:p w14:paraId="4985E412" w14:textId="3AF6A72C" w:rsidR="00C14F2B" w:rsidRDefault="00C14F2B" w:rsidP="00C14F2B">
      <w:pPr>
        <w:contextualSpacing/>
        <w:rPr>
          <w:b/>
          <w:bCs/>
        </w:rPr>
      </w:pPr>
      <w:r w:rsidRPr="00C14F2B">
        <w:rPr>
          <w:b/>
          <w:bCs/>
        </w:rPr>
        <w:t xml:space="preserve">Some </w:t>
      </w:r>
      <w:r>
        <w:rPr>
          <w:b/>
          <w:bCs/>
        </w:rPr>
        <w:t>tips</w:t>
      </w:r>
    </w:p>
    <w:p w14:paraId="23781D93" w14:textId="52135B08" w:rsidR="00C14F2B" w:rsidRDefault="00C14F2B" w:rsidP="00C14F2B">
      <w:pPr>
        <w:contextualSpacing/>
        <w:rPr>
          <w:b/>
          <w:bCs/>
        </w:rPr>
      </w:pPr>
    </w:p>
    <w:p w14:paraId="4FE071E1" w14:textId="2DED9EB5" w:rsidR="00C14F2B" w:rsidRDefault="00C14F2B" w:rsidP="00C14F2B">
      <w:pPr>
        <w:pStyle w:val="ListParagraph"/>
        <w:numPr>
          <w:ilvl w:val="0"/>
          <w:numId w:val="3"/>
        </w:numPr>
        <w:rPr>
          <w:b/>
          <w:bCs/>
        </w:rPr>
      </w:pPr>
      <w:r>
        <w:rPr>
          <w:b/>
          <w:bCs/>
        </w:rPr>
        <w:t>Keep paragraphs 250-350 words.</w:t>
      </w:r>
    </w:p>
    <w:p w14:paraId="0FEE6238" w14:textId="77777777" w:rsidR="00C14F2B" w:rsidRPr="00C14F2B" w:rsidRDefault="00C14F2B" w:rsidP="00C14F2B">
      <w:pPr>
        <w:pStyle w:val="ListParagraph"/>
        <w:rPr>
          <w:b/>
          <w:bCs/>
        </w:rPr>
      </w:pPr>
    </w:p>
    <w:p w14:paraId="783A14CA" w14:textId="3D73B4B1" w:rsidR="00C14F2B" w:rsidRDefault="00C14F2B" w:rsidP="00C14F2B">
      <w:pPr>
        <w:pStyle w:val="ListParagraph"/>
        <w:numPr>
          <w:ilvl w:val="0"/>
          <w:numId w:val="3"/>
        </w:numPr>
        <w:rPr>
          <w:b/>
          <w:bCs/>
        </w:rPr>
      </w:pPr>
      <w:r>
        <w:rPr>
          <w:b/>
          <w:bCs/>
        </w:rPr>
        <w:t>Divide essay into comprehensible chunks.</w:t>
      </w:r>
    </w:p>
    <w:p w14:paraId="3DB5CAF6" w14:textId="6893B834" w:rsidR="00C14F2B" w:rsidRDefault="00C14F2B" w:rsidP="00C14F2B">
      <w:pPr>
        <w:pStyle w:val="ListParagraph"/>
        <w:numPr>
          <w:ilvl w:val="1"/>
          <w:numId w:val="3"/>
        </w:numPr>
        <w:rPr>
          <w:b/>
          <w:bCs/>
        </w:rPr>
      </w:pPr>
      <w:r>
        <w:rPr>
          <w:b/>
          <w:bCs/>
        </w:rPr>
        <w:t>Classic division – economic, social, political. What place culture?</w:t>
      </w:r>
      <w:r w:rsidR="007D4FEE">
        <w:rPr>
          <w:b/>
          <w:bCs/>
        </w:rPr>
        <w:t xml:space="preserve"> Demography?</w:t>
      </w:r>
    </w:p>
    <w:p w14:paraId="0DDCB733" w14:textId="473AB75D" w:rsidR="00C14F2B" w:rsidRDefault="00C14F2B" w:rsidP="00C14F2B">
      <w:pPr>
        <w:pStyle w:val="ListParagraph"/>
        <w:numPr>
          <w:ilvl w:val="1"/>
          <w:numId w:val="3"/>
        </w:numPr>
        <w:rPr>
          <w:b/>
          <w:bCs/>
        </w:rPr>
      </w:pPr>
      <w:r>
        <w:rPr>
          <w:b/>
          <w:bCs/>
        </w:rPr>
        <w:t xml:space="preserve">But other ways to divide essay. </w:t>
      </w:r>
      <w:proofErr w:type="gramStart"/>
      <w:r>
        <w:rPr>
          <w:b/>
          <w:bCs/>
        </w:rPr>
        <w:t>E.g.</w:t>
      </w:r>
      <w:proofErr w:type="gramEnd"/>
      <w:r>
        <w:rPr>
          <w:b/>
          <w:bCs/>
        </w:rPr>
        <w:t xml:space="preserve"> top-down vs bottom-up politics, institutions vs civil society, international vs national. </w:t>
      </w:r>
    </w:p>
    <w:p w14:paraId="32994D64" w14:textId="77777777" w:rsidR="00C14F2B" w:rsidRPr="00C14F2B" w:rsidRDefault="00C14F2B" w:rsidP="00C14F2B">
      <w:pPr>
        <w:pStyle w:val="ListParagraph"/>
        <w:ind w:left="1440"/>
        <w:rPr>
          <w:b/>
          <w:bCs/>
        </w:rPr>
      </w:pPr>
    </w:p>
    <w:p w14:paraId="4A1A0DB5" w14:textId="3E3AD0AB" w:rsidR="00C14F2B" w:rsidRDefault="00C14F2B" w:rsidP="00C14F2B">
      <w:pPr>
        <w:pStyle w:val="ListParagraph"/>
        <w:numPr>
          <w:ilvl w:val="0"/>
          <w:numId w:val="3"/>
        </w:numPr>
        <w:rPr>
          <w:b/>
          <w:bCs/>
        </w:rPr>
      </w:pPr>
      <w:r>
        <w:rPr>
          <w:b/>
          <w:bCs/>
        </w:rPr>
        <w:lastRenderedPageBreak/>
        <w:t xml:space="preserve">Long term economic causes, medium term social causes, short term political causes. </w:t>
      </w:r>
    </w:p>
    <w:p w14:paraId="7163F3B4" w14:textId="77777777" w:rsidR="00C14F2B" w:rsidRDefault="00C14F2B" w:rsidP="00C14F2B">
      <w:pPr>
        <w:pStyle w:val="ListParagraph"/>
        <w:rPr>
          <w:b/>
          <w:bCs/>
        </w:rPr>
      </w:pPr>
    </w:p>
    <w:p w14:paraId="4B981873" w14:textId="22893A73" w:rsidR="00C14F2B" w:rsidRDefault="00C14F2B" w:rsidP="00C14F2B">
      <w:pPr>
        <w:pStyle w:val="ListParagraph"/>
        <w:numPr>
          <w:ilvl w:val="0"/>
          <w:numId w:val="3"/>
        </w:numPr>
        <w:rPr>
          <w:b/>
          <w:bCs/>
        </w:rPr>
      </w:pPr>
      <w:r>
        <w:rPr>
          <w:b/>
          <w:bCs/>
        </w:rPr>
        <w:t xml:space="preserve">Avoid using the thesaurus. Only use if you are in danger of repeating a word on multiple occasions. Even then CHECK that the word you employ is apposite. </w:t>
      </w:r>
    </w:p>
    <w:p w14:paraId="1F25710E" w14:textId="77777777" w:rsidR="00C14F2B" w:rsidRPr="00C14F2B" w:rsidRDefault="00C14F2B" w:rsidP="00C14F2B">
      <w:pPr>
        <w:pStyle w:val="ListParagraph"/>
        <w:rPr>
          <w:b/>
          <w:bCs/>
        </w:rPr>
      </w:pPr>
    </w:p>
    <w:p w14:paraId="05942393" w14:textId="77777777" w:rsidR="00C14F2B" w:rsidRDefault="00C14F2B" w:rsidP="00C14F2B">
      <w:pPr>
        <w:pStyle w:val="ListParagraph"/>
        <w:rPr>
          <w:b/>
          <w:bCs/>
        </w:rPr>
      </w:pPr>
    </w:p>
    <w:p w14:paraId="7AF28D04" w14:textId="06A86ACC" w:rsidR="00C14F2B" w:rsidRDefault="00C14F2B" w:rsidP="00C14F2B">
      <w:pPr>
        <w:pStyle w:val="ListParagraph"/>
        <w:numPr>
          <w:ilvl w:val="0"/>
          <w:numId w:val="3"/>
        </w:numPr>
        <w:rPr>
          <w:b/>
          <w:bCs/>
        </w:rPr>
      </w:pPr>
      <w:r>
        <w:rPr>
          <w:b/>
          <w:bCs/>
        </w:rPr>
        <w:t>Check that the sentence has a</w:t>
      </w:r>
      <w:r w:rsidR="007D4FEE">
        <w:rPr>
          <w:b/>
          <w:bCs/>
        </w:rPr>
        <w:t xml:space="preserve"> main </w:t>
      </w:r>
      <w:r>
        <w:rPr>
          <w:b/>
          <w:bCs/>
        </w:rPr>
        <w:t xml:space="preserve">verb. </w:t>
      </w:r>
    </w:p>
    <w:p w14:paraId="1FC90861" w14:textId="77777777" w:rsidR="00C14F2B" w:rsidRDefault="00C14F2B" w:rsidP="00C14F2B">
      <w:pPr>
        <w:pStyle w:val="ListParagraph"/>
        <w:rPr>
          <w:b/>
          <w:bCs/>
        </w:rPr>
      </w:pPr>
    </w:p>
    <w:p w14:paraId="31B712C2" w14:textId="7E53411C" w:rsidR="00C14F2B" w:rsidRDefault="00C14F2B" w:rsidP="00C14F2B">
      <w:pPr>
        <w:pStyle w:val="ListParagraph"/>
        <w:numPr>
          <w:ilvl w:val="0"/>
          <w:numId w:val="3"/>
        </w:numPr>
        <w:rPr>
          <w:b/>
          <w:bCs/>
        </w:rPr>
      </w:pPr>
      <w:r>
        <w:rPr>
          <w:b/>
          <w:bCs/>
        </w:rPr>
        <w:t>Avoid passive voice.</w:t>
      </w:r>
    </w:p>
    <w:p w14:paraId="5AF5C123" w14:textId="77777777" w:rsidR="00C14F2B" w:rsidRPr="00C14F2B" w:rsidRDefault="00C14F2B" w:rsidP="00C14F2B">
      <w:pPr>
        <w:rPr>
          <w:b/>
          <w:bCs/>
        </w:rPr>
      </w:pPr>
    </w:p>
    <w:p w14:paraId="7A0B8782" w14:textId="1B3CD59D" w:rsidR="00C14F2B" w:rsidRDefault="00C14F2B" w:rsidP="00C14F2B">
      <w:pPr>
        <w:pStyle w:val="ListParagraph"/>
        <w:numPr>
          <w:ilvl w:val="0"/>
          <w:numId w:val="3"/>
        </w:numPr>
        <w:rPr>
          <w:b/>
          <w:bCs/>
        </w:rPr>
      </w:pPr>
      <w:r>
        <w:rPr>
          <w:b/>
          <w:bCs/>
        </w:rPr>
        <w:t xml:space="preserve">Avoid long signposting phrases. </w:t>
      </w:r>
      <w:proofErr w:type="gramStart"/>
      <w:r w:rsidR="007D4FEE">
        <w:rPr>
          <w:b/>
          <w:bCs/>
        </w:rPr>
        <w:t>E.g.</w:t>
      </w:r>
      <w:proofErr w:type="gramEnd"/>
      <w:r w:rsidR="007D4FEE">
        <w:rPr>
          <w:b/>
          <w:bCs/>
        </w:rPr>
        <w:t xml:space="preserve"> it is clear that, it should be understood that, can be explained as</w:t>
      </w:r>
    </w:p>
    <w:p w14:paraId="1036E99B" w14:textId="77777777" w:rsidR="00C14F2B" w:rsidRPr="00C14F2B" w:rsidRDefault="00C14F2B" w:rsidP="00C14F2B">
      <w:pPr>
        <w:rPr>
          <w:b/>
          <w:bCs/>
        </w:rPr>
      </w:pPr>
    </w:p>
    <w:p w14:paraId="61C8101A" w14:textId="18D2A1EA" w:rsidR="00C14F2B" w:rsidRDefault="00C14F2B" w:rsidP="00C14F2B">
      <w:pPr>
        <w:pStyle w:val="ListParagraph"/>
        <w:numPr>
          <w:ilvl w:val="0"/>
          <w:numId w:val="3"/>
        </w:numPr>
        <w:rPr>
          <w:b/>
          <w:bCs/>
        </w:rPr>
      </w:pPr>
      <w:r>
        <w:rPr>
          <w:b/>
          <w:bCs/>
        </w:rPr>
        <w:t xml:space="preserve">If a sentence is over two lines long, or contains more than two clauses, attempt to split it up. </w:t>
      </w:r>
    </w:p>
    <w:p w14:paraId="639A59FC" w14:textId="77777777" w:rsidR="00C14F2B" w:rsidRPr="00C14F2B" w:rsidRDefault="00C14F2B" w:rsidP="00C14F2B">
      <w:pPr>
        <w:rPr>
          <w:b/>
          <w:bCs/>
        </w:rPr>
      </w:pPr>
    </w:p>
    <w:p w14:paraId="7608CD49" w14:textId="7548607B" w:rsidR="00C14F2B" w:rsidRDefault="00C14F2B" w:rsidP="00C14F2B">
      <w:pPr>
        <w:pStyle w:val="ListParagraph"/>
        <w:numPr>
          <w:ilvl w:val="0"/>
          <w:numId w:val="3"/>
        </w:numPr>
        <w:rPr>
          <w:b/>
          <w:bCs/>
        </w:rPr>
      </w:pPr>
      <w:r>
        <w:rPr>
          <w:b/>
          <w:bCs/>
        </w:rPr>
        <w:t xml:space="preserve">Avoid hanging phrases. </w:t>
      </w:r>
    </w:p>
    <w:p w14:paraId="74AA3C73" w14:textId="77777777" w:rsidR="00C14F2B" w:rsidRPr="00C14F2B" w:rsidRDefault="00C14F2B" w:rsidP="00C14F2B">
      <w:pPr>
        <w:rPr>
          <w:b/>
          <w:bCs/>
        </w:rPr>
      </w:pPr>
    </w:p>
    <w:p w14:paraId="6D7A4F6E" w14:textId="6B1FEBC4" w:rsidR="00C14F2B" w:rsidRDefault="00C14F2B" w:rsidP="00C14F2B">
      <w:pPr>
        <w:pStyle w:val="ListParagraph"/>
        <w:numPr>
          <w:ilvl w:val="0"/>
          <w:numId w:val="3"/>
        </w:numPr>
        <w:rPr>
          <w:b/>
          <w:bCs/>
        </w:rPr>
      </w:pPr>
      <w:r>
        <w:rPr>
          <w:b/>
          <w:bCs/>
        </w:rPr>
        <w:t xml:space="preserve">Strong topic sentences which focus exactly on the topic of the paragraph. </w:t>
      </w:r>
    </w:p>
    <w:p w14:paraId="42A4A228" w14:textId="77777777" w:rsidR="00C14F2B" w:rsidRPr="00C14F2B" w:rsidRDefault="00C14F2B" w:rsidP="00C14F2B">
      <w:pPr>
        <w:rPr>
          <w:b/>
          <w:bCs/>
        </w:rPr>
      </w:pPr>
    </w:p>
    <w:p w14:paraId="18C2D370" w14:textId="7F9B9E8A" w:rsidR="00C14F2B" w:rsidRDefault="00C14F2B" w:rsidP="00C14F2B">
      <w:pPr>
        <w:pStyle w:val="ListParagraph"/>
        <w:numPr>
          <w:ilvl w:val="0"/>
          <w:numId w:val="3"/>
        </w:numPr>
        <w:rPr>
          <w:b/>
          <w:bCs/>
        </w:rPr>
      </w:pPr>
      <w:r>
        <w:rPr>
          <w:b/>
          <w:bCs/>
        </w:rPr>
        <w:t>Mix types of evidence</w:t>
      </w:r>
    </w:p>
    <w:p w14:paraId="101E2280" w14:textId="141F3453" w:rsidR="00C14F2B" w:rsidRDefault="00C14F2B" w:rsidP="00C14F2B">
      <w:pPr>
        <w:pStyle w:val="ListParagraph"/>
        <w:numPr>
          <w:ilvl w:val="1"/>
          <w:numId w:val="3"/>
        </w:numPr>
        <w:rPr>
          <w:b/>
          <w:bCs/>
        </w:rPr>
      </w:pPr>
      <w:r>
        <w:rPr>
          <w:b/>
          <w:bCs/>
        </w:rPr>
        <w:t xml:space="preserve">Quantitative evidence </w:t>
      </w:r>
    </w:p>
    <w:p w14:paraId="40A3C98E" w14:textId="18E0B38D" w:rsidR="00C14F2B" w:rsidRDefault="00C14F2B" w:rsidP="00C14F2B">
      <w:pPr>
        <w:pStyle w:val="ListParagraph"/>
        <w:numPr>
          <w:ilvl w:val="1"/>
          <w:numId w:val="3"/>
        </w:numPr>
        <w:rPr>
          <w:b/>
          <w:bCs/>
        </w:rPr>
      </w:pPr>
      <w:r>
        <w:rPr>
          <w:b/>
          <w:bCs/>
        </w:rPr>
        <w:t>Contemporary quotations</w:t>
      </w:r>
    </w:p>
    <w:p w14:paraId="4AEBE265" w14:textId="5D3379DD" w:rsidR="00C14F2B" w:rsidRDefault="00C14F2B" w:rsidP="00C14F2B">
      <w:pPr>
        <w:pStyle w:val="ListParagraph"/>
        <w:numPr>
          <w:ilvl w:val="1"/>
          <w:numId w:val="3"/>
        </w:numPr>
        <w:rPr>
          <w:b/>
          <w:bCs/>
        </w:rPr>
      </w:pPr>
      <w:r>
        <w:rPr>
          <w:b/>
          <w:bCs/>
        </w:rPr>
        <w:t>Anecdotal evidence</w:t>
      </w:r>
    </w:p>
    <w:p w14:paraId="3073AA8C" w14:textId="4442200E" w:rsidR="00C14F2B" w:rsidRPr="00C14F2B" w:rsidRDefault="00C14F2B" w:rsidP="00C14F2B">
      <w:pPr>
        <w:pStyle w:val="ListParagraph"/>
        <w:numPr>
          <w:ilvl w:val="1"/>
          <w:numId w:val="3"/>
        </w:numPr>
        <w:rPr>
          <w:b/>
          <w:bCs/>
        </w:rPr>
      </w:pPr>
      <w:r>
        <w:rPr>
          <w:b/>
          <w:bCs/>
        </w:rPr>
        <w:t>Historians’ assertions</w:t>
      </w:r>
    </w:p>
    <w:sectPr w:rsidR="00C14F2B" w:rsidRPr="00C14F2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5FC6C5" w14:textId="77777777" w:rsidR="002E6986" w:rsidRDefault="002E6986" w:rsidP="00C14F2B">
      <w:r>
        <w:separator/>
      </w:r>
    </w:p>
  </w:endnote>
  <w:endnote w:type="continuationSeparator" w:id="0">
    <w:p w14:paraId="3DD3D04E" w14:textId="77777777" w:rsidR="002E6986" w:rsidRDefault="002E6986" w:rsidP="00C14F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Helvetica Light">
    <w:altName w:val="Arial Nova Light"/>
    <w:charset w:val="00"/>
    <w:family w:val="swiss"/>
    <w:pitch w:val="variable"/>
    <w:sig w:usb0="800000AF" w:usb1="4000204A" w:usb2="00000000" w:usb3="00000000" w:csb0="0000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0778F4" w14:textId="77777777" w:rsidR="002E6986" w:rsidRDefault="002E6986" w:rsidP="00C14F2B">
      <w:r>
        <w:separator/>
      </w:r>
    </w:p>
  </w:footnote>
  <w:footnote w:type="continuationSeparator" w:id="0">
    <w:p w14:paraId="49701D7A" w14:textId="77777777" w:rsidR="002E6986" w:rsidRDefault="002E6986" w:rsidP="00C14F2B">
      <w:r>
        <w:continuationSeparator/>
      </w:r>
    </w:p>
  </w:footnote>
  <w:footnote w:id="1">
    <w:p w14:paraId="2186D9A1" w14:textId="77777777" w:rsidR="00C14F2B" w:rsidRPr="00C14F2B" w:rsidRDefault="00C14F2B" w:rsidP="00C14F2B">
      <w:pPr>
        <w:pStyle w:val="FootnoteText"/>
        <w:rPr>
          <w:lang w:val="en-US"/>
        </w:rPr>
      </w:pPr>
      <w:r>
        <w:rPr>
          <w:rStyle w:val="FootnoteReference"/>
        </w:rPr>
        <w:footnoteRef/>
      </w:r>
      <w:r w:rsidRPr="00C14F2B">
        <w:rPr>
          <w:lang w:val="en-US"/>
        </w:rPr>
        <w:t xml:space="preserve"> Mark Wasserman, p. 33.</w:t>
      </w:r>
    </w:p>
  </w:footnote>
  <w:footnote w:id="2">
    <w:p w14:paraId="21872526" w14:textId="77777777" w:rsidR="00C14F2B" w:rsidRDefault="00C14F2B" w:rsidP="00C14F2B">
      <w:pPr>
        <w:pStyle w:val="FootnoteText"/>
      </w:pPr>
      <w:r>
        <w:rPr>
          <w:rStyle w:val="FootnoteReference"/>
        </w:rPr>
        <w:footnoteRef/>
      </w:r>
      <w:r>
        <w:t xml:space="preserve"> Peter </w:t>
      </w:r>
      <w:r>
        <w:t xml:space="preserve">Guardino, </w:t>
      </w:r>
      <w:r>
        <w:rPr>
          <w:i/>
          <w:iCs/>
        </w:rPr>
        <w:t xml:space="preserve">The Dead March: A history of the </w:t>
      </w:r>
      <w:r>
        <w:rPr>
          <w:i/>
          <w:iCs/>
        </w:rPr>
        <w:t>Mexican-American War</w:t>
      </w:r>
      <w:r>
        <w:t xml:space="preserve"> (Cambridge: Harvard University Press, 2017) page 28</w:t>
      </w:r>
    </w:p>
  </w:footnote>
  <w:footnote w:id="3">
    <w:p w14:paraId="58A8D468" w14:textId="77777777" w:rsidR="00C14F2B" w:rsidRDefault="00C14F2B" w:rsidP="00C14F2B">
      <w:pPr>
        <w:pStyle w:val="FootnoteText"/>
      </w:pPr>
      <w:r>
        <w:rPr>
          <w:rStyle w:val="FootnoteReference"/>
        </w:rPr>
        <w:footnoteRef/>
      </w:r>
      <w:r>
        <w:t xml:space="preserve"> </w:t>
      </w:r>
      <w:bookmarkStart w:id="1" w:name="OLE_LINK5"/>
      <w:bookmarkStart w:id="2" w:name="OLE_LINK6"/>
      <w:r>
        <w:t xml:space="preserve">Ted C Hinckley, ’American Anti-Catholicism during the Mexican War’, </w:t>
      </w:r>
      <w:r>
        <w:rPr>
          <w:i/>
          <w:iCs/>
        </w:rPr>
        <w:t>Pacific Historical Review</w:t>
      </w:r>
      <w:r>
        <w:t xml:space="preserve"> 31 (1962) 121-137</w:t>
      </w:r>
      <w:bookmarkEnd w:id="1"/>
      <w:bookmarkEnd w:id="2"/>
    </w:p>
  </w:footnote>
  <w:footnote w:id="4">
    <w:p w14:paraId="5FE97D0F" w14:textId="77777777" w:rsidR="00C14F2B" w:rsidRDefault="00C14F2B" w:rsidP="00C14F2B">
      <w:pPr>
        <w:pStyle w:val="FootnoteText"/>
      </w:pPr>
      <w:r>
        <w:rPr>
          <w:rStyle w:val="FootnoteReference"/>
        </w:rPr>
        <w:footnoteRef/>
      </w:r>
      <w:r>
        <w:t xml:space="preserve"> John C Pinheiro, ’Religion, Anti-Catholicism, and the </w:t>
      </w:r>
      <w:r>
        <w:t xml:space="preserve">Mexian-American War’, </w:t>
      </w:r>
      <w:r>
        <w:rPr>
          <w:i/>
          <w:iCs/>
        </w:rPr>
        <w:t>Oxford Research Encyclopaedia of Religion</w:t>
      </w:r>
      <w:r>
        <w:t xml:space="preserve"> (2017)</w:t>
      </w:r>
    </w:p>
  </w:footnote>
  <w:footnote w:id="5">
    <w:p w14:paraId="1B6F9C24" w14:textId="77777777" w:rsidR="00C14F2B" w:rsidRDefault="00C14F2B" w:rsidP="00C14F2B">
      <w:pPr>
        <w:pStyle w:val="FootnoteText"/>
      </w:pPr>
      <w:r>
        <w:rPr>
          <w:rStyle w:val="FootnoteReference"/>
        </w:rPr>
        <w:footnoteRef/>
      </w:r>
      <w:r>
        <w:t xml:space="preserve"> Ted C Hinckley, ’American Anti-Catholicism during the Mexican War’, </w:t>
      </w:r>
      <w:r>
        <w:rPr>
          <w:i/>
          <w:iCs/>
        </w:rPr>
        <w:t>Pacific Historical Review</w:t>
      </w:r>
      <w:r>
        <w:t xml:space="preserve"> 31 (1962) 123</w:t>
      </w:r>
    </w:p>
  </w:footnote>
  <w:footnote w:id="6">
    <w:p w14:paraId="23C5D5F0" w14:textId="77777777" w:rsidR="00C14F2B" w:rsidRDefault="00C14F2B" w:rsidP="00C14F2B">
      <w:pPr>
        <w:pStyle w:val="FootnoteText"/>
      </w:pPr>
      <w:r>
        <w:rPr>
          <w:rStyle w:val="FootnoteReference"/>
        </w:rPr>
        <w:footnoteRef/>
      </w:r>
      <w:r>
        <w:t xml:space="preserve"> Peter </w:t>
      </w:r>
      <w:r>
        <w:t xml:space="preserve">Guardino, </w:t>
      </w:r>
      <w:r>
        <w:rPr>
          <w:i/>
          <w:iCs/>
        </w:rPr>
        <w:t xml:space="preserve">The Dead March: A history of the </w:t>
      </w:r>
      <w:r>
        <w:rPr>
          <w:i/>
          <w:iCs/>
        </w:rPr>
        <w:t>Mexican-American War</w:t>
      </w:r>
      <w:r>
        <w:t xml:space="preserve"> (Cambridge: Harvard University Press, 2017) page 34</w:t>
      </w:r>
    </w:p>
  </w:footnote>
  <w:footnote w:id="7">
    <w:p w14:paraId="4157785D" w14:textId="77777777" w:rsidR="00C14F2B" w:rsidRDefault="00C14F2B" w:rsidP="00C14F2B">
      <w:pPr>
        <w:pStyle w:val="FootnoteText"/>
      </w:pPr>
      <w:r>
        <w:rPr>
          <w:rStyle w:val="FootnoteReference"/>
        </w:rPr>
        <w:footnoteRef/>
      </w:r>
      <w:r>
        <w:t xml:space="preserve"> Peter </w:t>
      </w:r>
      <w:r>
        <w:t xml:space="preserve">Guardino, </w:t>
      </w:r>
      <w:r>
        <w:rPr>
          <w:i/>
          <w:iCs/>
        </w:rPr>
        <w:t xml:space="preserve">The Dead March: A history of the </w:t>
      </w:r>
      <w:r>
        <w:rPr>
          <w:i/>
          <w:iCs/>
        </w:rPr>
        <w:t>Mexican-American War</w:t>
      </w:r>
      <w:r>
        <w:t xml:space="preserve"> (Cambridge: Harvard University Press, 2017) page 35</w:t>
      </w:r>
    </w:p>
  </w:footnote>
  <w:footnote w:id="8">
    <w:p w14:paraId="20AB00F6" w14:textId="77777777" w:rsidR="00C14F2B" w:rsidRDefault="00C14F2B" w:rsidP="00C14F2B">
      <w:pPr>
        <w:pStyle w:val="FootnoteText"/>
      </w:pPr>
      <w:r>
        <w:rPr>
          <w:rStyle w:val="FootnoteReference"/>
          <w:rFonts w:ascii="Times New Roman" w:hAnsi="Times New Roman" w:cs="Times New Roman"/>
        </w:rPr>
        <w:footnoteRef/>
      </w:r>
      <w:r>
        <w:rPr>
          <w:rFonts w:ascii="Times New Roman" w:hAnsi="Times New Roman" w:cs="Times New Roman"/>
        </w:rPr>
        <w:t xml:space="preserve"> Brian </w:t>
      </w:r>
      <w:r>
        <w:rPr>
          <w:rFonts w:ascii="Times New Roman" w:hAnsi="Times New Roman" w:cs="Times New Roman"/>
        </w:rPr>
        <w:t xml:space="preserve">Hamnett, </w:t>
      </w:r>
      <w:r>
        <w:rPr>
          <w:rFonts w:ascii="Times New Roman" w:hAnsi="Times New Roman" w:cs="Times New Roman"/>
          <w:i/>
          <w:iCs/>
        </w:rPr>
        <w:t>A Concise History of Mexico</w:t>
      </w:r>
      <w:r>
        <w:rPr>
          <w:rFonts w:ascii="Times New Roman" w:hAnsi="Times New Roman" w:cs="Times New Roman"/>
        </w:rPr>
        <w:t>, 3rd ed, (Cambridge University Press, 2019), p. 151</w:t>
      </w:r>
    </w:p>
  </w:footnote>
  <w:footnote w:id="9">
    <w:p w14:paraId="5B50ABBE" w14:textId="77777777" w:rsidR="00C14F2B" w:rsidRDefault="00C14F2B" w:rsidP="00C14F2B">
      <w:pPr>
        <w:pStyle w:val="FootnoteText"/>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Ibid, p.153</w:t>
      </w:r>
      <w:r>
        <w:rPr>
          <w:rFonts w:ascii="Times New Roman" w:hAnsi="Times New Roman" w:cs="Times New Roman"/>
        </w:rPr>
        <w:tab/>
      </w:r>
    </w:p>
  </w:footnote>
  <w:footnote w:id="10">
    <w:p w14:paraId="40D971B6" w14:textId="77777777" w:rsidR="00C14F2B" w:rsidRDefault="00C14F2B" w:rsidP="00C14F2B">
      <w:pPr>
        <w:pStyle w:val="FootnoteText"/>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Ibid, p. 151</w:t>
      </w:r>
    </w:p>
  </w:footnote>
  <w:footnote w:id="11">
    <w:p w14:paraId="55AB6C62" w14:textId="77777777" w:rsidR="00C14F2B" w:rsidRDefault="00C14F2B" w:rsidP="00C14F2B">
      <w:pPr>
        <w:pStyle w:val="FootnoteText"/>
      </w:pPr>
      <w:r>
        <w:rPr>
          <w:rStyle w:val="FootnoteReference"/>
        </w:rPr>
        <w:footnoteRef/>
      </w:r>
      <w:r>
        <w:t xml:space="preserve"> National Archives II, College Park, p. 41, quoted in Mark </w:t>
      </w:r>
      <w:r>
        <w:t>Overmyer-Vel</w:t>
      </w:r>
      <w:r>
        <w:rPr>
          <w:rFonts w:cstheme="minorHAnsi"/>
        </w:rPr>
        <w:t>á</w:t>
      </w:r>
      <w:r>
        <w:t xml:space="preserve">zquez, ‘Good Neigbors and White Mexicans: Constructing Race and Nation on the Meixco-U.S. Border, </w:t>
      </w:r>
      <w:r>
        <w:rPr>
          <w:i/>
          <w:iCs/>
        </w:rPr>
        <w:t>Journal of American Ethnic History</w:t>
      </w:r>
      <w:r>
        <w:t>, 33, 1, (2013),</w:t>
      </w:r>
      <w:r>
        <w:rPr>
          <w:i/>
          <w:iCs/>
        </w:rPr>
        <w:t xml:space="preserve"> </w:t>
      </w:r>
      <w:r>
        <w:t>5-34 (16).</w:t>
      </w:r>
    </w:p>
  </w:footnote>
  <w:footnote w:id="12">
    <w:p w14:paraId="1EFF55A1" w14:textId="77777777" w:rsidR="00C14F2B" w:rsidRDefault="00C14F2B" w:rsidP="00C14F2B">
      <w:pPr>
        <w:pStyle w:val="FootnoteText"/>
        <w:rPr>
          <w:rFonts w:ascii="Times New Roman" w:hAnsi="Times New Roman" w:cs="Times New Roman"/>
          <w:sz w:val="18"/>
          <w:szCs w:val="18"/>
        </w:rPr>
      </w:pPr>
      <w:r>
        <w:rPr>
          <w:rStyle w:val="FootnoteReference"/>
          <w:rFonts w:ascii="Times New Roman" w:hAnsi="Times New Roman" w:cs="Times New Roman"/>
          <w:sz w:val="18"/>
          <w:szCs w:val="18"/>
        </w:rPr>
        <w:footnoteRef/>
      </w:r>
      <w:r>
        <w:rPr>
          <w:rFonts w:ascii="Times New Roman" w:hAnsi="Times New Roman" w:cs="Times New Roman"/>
          <w:sz w:val="18"/>
          <w:szCs w:val="18"/>
        </w:rPr>
        <w:t xml:space="preserve"> </w:t>
      </w:r>
      <w:r>
        <w:rPr>
          <w:rFonts w:ascii="Times New Roman" w:hAnsi="Times New Roman" w:cs="Times New Roman"/>
          <w:color w:val="37393C"/>
          <w:sz w:val="18"/>
          <w:szCs w:val="18"/>
          <w:shd w:val="clear" w:color="auto" w:fill="FFFFFF"/>
        </w:rPr>
        <w:t xml:space="preserve">Fuentes, Andrés </w:t>
      </w:r>
      <w:r>
        <w:rPr>
          <w:rFonts w:ascii="Times New Roman" w:hAnsi="Times New Roman" w:cs="Times New Roman"/>
          <w:color w:val="37393C"/>
          <w:sz w:val="18"/>
          <w:szCs w:val="18"/>
          <w:shd w:val="clear" w:color="auto" w:fill="FFFFFF"/>
        </w:rPr>
        <w:t>Reséndez. 1995. ‘Battleground Women: Soldaderas and Female Soldiers in the Mexican Revolution’, </w:t>
      </w:r>
      <w:r>
        <w:rPr>
          <w:rFonts w:ascii="Times New Roman" w:hAnsi="Times New Roman" w:cs="Times New Roman"/>
          <w:i/>
          <w:iCs/>
          <w:color w:val="37393C"/>
          <w:sz w:val="18"/>
          <w:szCs w:val="18"/>
          <w:shd w:val="clear" w:color="auto" w:fill="FFFFFF"/>
        </w:rPr>
        <w:t>Americas (Academy of American Franciscan History)</w:t>
      </w:r>
      <w:r>
        <w:rPr>
          <w:rFonts w:ascii="Times New Roman" w:hAnsi="Times New Roman" w:cs="Times New Roman"/>
          <w:color w:val="37393C"/>
          <w:sz w:val="18"/>
          <w:szCs w:val="18"/>
          <w:shd w:val="clear" w:color="auto" w:fill="FFFFFF"/>
        </w:rPr>
        <w:t>, 51.4: 525–53</w:t>
      </w:r>
    </w:p>
  </w:footnote>
  <w:footnote w:id="13">
    <w:p w14:paraId="4484BF74" w14:textId="77777777" w:rsidR="00C14F2B" w:rsidRDefault="00C14F2B" w:rsidP="00C14F2B">
      <w:pPr>
        <w:pStyle w:val="FootnoteText"/>
        <w:rPr>
          <w:rFonts w:ascii="Times New Roman" w:hAnsi="Times New Roman" w:cs="Times New Roman"/>
          <w:sz w:val="18"/>
          <w:szCs w:val="18"/>
        </w:rPr>
      </w:pPr>
      <w:r>
        <w:rPr>
          <w:rStyle w:val="FootnoteReference"/>
          <w:rFonts w:ascii="Times New Roman" w:hAnsi="Times New Roman" w:cs="Times New Roman"/>
          <w:sz w:val="18"/>
          <w:szCs w:val="18"/>
        </w:rPr>
        <w:footnoteRef/>
      </w:r>
      <w:r>
        <w:rPr>
          <w:rFonts w:ascii="Times New Roman" w:hAnsi="Times New Roman" w:cs="Times New Roman"/>
          <w:sz w:val="18"/>
          <w:szCs w:val="18"/>
        </w:rPr>
        <w:t xml:space="preserve"> </w:t>
      </w:r>
      <w:r>
        <w:rPr>
          <w:rFonts w:ascii="Times New Roman" w:hAnsi="Times New Roman" w:cs="Times New Roman"/>
          <w:color w:val="37393C"/>
          <w:sz w:val="18"/>
          <w:szCs w:val="18"/>
          <w:shd w:val="clear" w:color="auto" w:fill="FFFFFF"/>
        </w:rPr>
        <w:t xml:space="preserve">Fuentes, Andrés </w:t>
      </w:r>
      <w:r>
        <w:rPr>
          <w:rFonts w:ascii="Times New Roman" w:hAnsi="Times New Roman" w:cs="Times New Roman"/>
          <w:color w:val="37393C"/>
          <w:sz w:val="18"/>
          <w:szCs w:val="18"/>
          <w:shd w:val="clear" w:color="auto" w:fill="FFFFFF"/>
        </w:rPr>
        <w:t>Reséndez. 1995. ‘Battleground Women: Soldaderas and Female Soldiers in the Mexican Revolution’, </w:t>
      </w:r>
      <w:r>
        <w:rPr>
          <w:rFonts w:ascii="Times New Roman" w:hAnsi="Times New Roman" w:cs="Times New Roman"/>
          <w:i/>
          <w:iCs/>
          <w:color w:val="37393C"/>
          <w:sz w:val="18"/>
          <w:szCs w:val="18"/>
          <w:shd w:val="clear" w:color="auto" w:fill="FFFFFF"/>
        </w:rPr>
        <w:t>Americas (Academy of American Franciscan History)</w:t>
      </w:r>
      <w:r>
        <w:rPr>
          <w:rFonts w:ascii="Times New Roman" w:hAnsi="Times New Roman" w:cs="Times New Roman"/>
          <w:color w:val="37393C"/>
          <w:sz w:val="18"/>
          <w:szCs w:val="18"/>
          <w:shd w:val="clear" w:color="auto" w:fill="FFFFFF"/>
        </w:rPr>
        <w:t>, 51.4: 525–53</w:t>
      </w:r>
    </w:p>
    <w:p w14:paraId="33B1A74C" w14:textId="77777777" w:rsidR="00C14F2B" w:rsidRDefault="00C14F2B" w:rsidP="00C14F2B">
      <w:pPr>
        <w:pStyle w:val="FootnoteText"/>
        <w:rPr>
          <w:rFonts w:ascii="Times New Roman" w:hAnsi="Times New Roman" w:cs="Times New Roman"/>
          <w:sz w:val="18"/>
          <w:szCs w:val="18"/>
        </w:rPr>
      </w:pPr>
    </w:p>
  </w:footnote>
  <w:footnote w:id="14">
    <w:p w14:paraId="416BE680" w14:textId="77777777" w:rsidR="00C14F2B" w:rsidRDefault="00C14F2B" w:rsidP="00C14F2B">
      <w:pPr>
        <w:pStyle w:val="FootnoteText"/>
        <w:rPr>
          <w:rFonts w:ascii="Times New Roman" w:hAnsi="Times New Roman" w:cs="Times New Roman"/>
          <w:sz w:val="18"/>
          <w:szCs w:val="18"/>
        </w:rPr>
      </w:pPr>
      <w:r>
        <w:rPr>
          <w:rStyle w:val="FootnoteReference"/>
          <w:rFonts w:ascii="Times New Roman" w:hAnsi="Times New Roman" w:cs="Times New Roman"/>
          <w:sz w:val="18"/>
          <w:szCs w:val="18"/>
        </w:rPr>
        <w:footnoteRef/>
      </w:r>
      <w:r>
        <w:rPr>
          <w:rFonts w:ascii="Times New Roman" w:hAnsi="Times New Roman" w:cs="Times New Roman"/>
          <w:sz w:val="18"/>
          <w:szCs w:val="18"/>
        </w:rPr>
        <w:t xml:space="preserve"> </w:t>
      </w:r>
      <w:hyperlink r:id="rId1" w:history="1">
        <w:r>
          <w:rPr>
            <w:rStyle w:val="Hyperlink"/>
            <w:rFonts w:ascii="Times New Roman" w:hAnsi="Times New Roman" w:cs="Times New Roman"/>
            <w:sz w:val="18"/>
            <w:szCs w:val="18"/>
            <w:shd w:val="clear" w:color="auto" w:fill="FFFFFF"/>
          </w:rPr>
          <w:t>‘English’. [n.d.]. </w:t>
        </w:r>
        <w:r>
          <w:rPr>
            <w:rStyle w:val="Hyperlink"/>
            <w:rFonts w:ascii="Times New Roman" w:hAnsi="Times New Roman" w:cs="Times New Roman"/>
            <w:i/>
            <w:iCs/>
            <w:sz w:val="18"/>
            <w:szCs w:val="18"/>
            <w:shd w:val="clear" w:color="auto" w:fill="FFFFFF"/>
          </w:rPr>
          <w:t>Com.Mx</w:t>
        </w:r>
        <w:r>
          <w:rPr>
            <w:rStyle w:val="Hyperlink"/>
            <w:rFonts w:ascii="Times New Roman" w:hAnsi="Times New Roman" w:cs="Times New Roman"/>
            <w:sz w:val="18"/>
            <w:szCs w:val="18"/>
            <w:shd w:val="clear" w:color="auto" w:fill="FFFFFF"/>
          </w:rPr>
          <w:t> &lt;https://www.eluniversal.com.mx/english/brave-women-mexican-revolutio&gt; [accessed 20 November 2021]</w:t>
        </w:r>
        <w:r>
          <w:rPr>
            <w:rStyle w:val="Hyperlink"/>
            <w:rFonts w:ascii="Times New Roman" w:hAnsi="Times New Roman" w:cs="Times New Roman"/>
            <w:sz w:val="18"/>
            <w:szCs w:val="18"/>
          </w:rPr>
          <w:t>n</w:t>
        </w:r>
      </w:hyperlink>
    </w:p>
    <w:p w14:paraId="637698CF" w14:textId="77777777" w:rsidR="00C14F2B" w:rsidRDefault="00C14F2B" w:rsidP="00C14F2B">
      <w:pPr>
        <w:pStyle w:val="FootnoteText"/>
      </w:pPr>
    </w:p>
  </w:footnote>
  <w:footnote w:id="15">
    <w:p w14:paraId="65C77FED" w14:textId="77777777" w:rsidR="00C14F2B" w:rsidRDefault="00C14F2B" w:rsidP="00C14F2B">
      <w:pPr>
        <w:pStyle w:val="FootnoteText"/>
      </w:pPr>
      <w:r>
        <w:rPr>
          <w:rStyle w:val="FootnoteReference"/>
        </w:rPr>
        <w:footnoteRef/>
      </w:r>
      <w:r>
        <w:t xml:space="preserve"> Fowler, W. (2016) </w:t>
      </w:r>
      <w:r>
        <w:rPr>
          <w:i/>
          <w:iCs/>
        </w:rPr>
        <w:t>Independent Mexico: The Pronunciamento in the Age of Santa Anna, 1821-1858</w:t>
      </w:r>
      <w:r>
        <w:t>. Lincoln, Nebraska; London. P. 74, 76 &amp; 188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161930"/>
    <w:multiLevelType w:val="hybridMultilevel"/>
    <w:tmpl w:val="239EA5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6D111B1"/>
    <w:multiLevelType w:val="hybridMultilevel"/>
    <w:tmpl w:val="BAACE1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6CB1AE2"/>
    <w:multiLevelType w:val="hybridMultilevel"/>
    <w:tmpl w:val="67A2127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98729885">
    <w:abstractNumId w:val="1"/>
  </w:num>
  <w:num w:numId="2" w16cid:durableId="2134471083">
    <w:abstractNumId w:val="0"/>
  </w:num>
  <w:num w:numId="3" w16cid:durableId="14463871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4F2B"/>
    <w:rsid w:val="001048B4"/>
    <w:rsid w:val="00244BD7"/>
    <w:rsid w:val="002E6986"/>
    <w:rsid w:val="007D4FEE"/>
    <w:rsid w:val="00B5094C"/>
    <w:rsid w:val="00C14F2B"/>
    <w:rsid w:val="00C7541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DF86E8"/>
  <w15:chartTrackingRefBased/>
  <w15:docId w15:val="{0C90A363-0695-9948-929A-60077B7A4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14F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14F2B"/>
    <w:pPr>
      <w:ind w:left="720"/>
      <w:contextualSpacing/>
    </w:pPr>
  </w:style>
  <w:style w:type="paragraph" w:styleId="FootnoteText">
    <w:name w:val="footnote text"/>
    <w:basedOn w:val="Normal"/>
    <w:link w:val="FootnoteTextChar"/>
    <w:uiPriority w:val="99"/>
    <w:semiHidden/>
    <w:unhideWhenUsed/>
    <w:rsid w:val="00C14F2B"/>
    <w:rPr>
      <w:rFonts w:eastAsiaTheme="minorHAnsi"/>
      <w:sz w:val="20"/>
      <w:szCs w:val="20"/>
      <w:lang w:val="en-GB" w:eastAsia="en-US"/>
    </w:rPr>
  </w:style>
  <w:style w:type="character" w:customStyle="1" w:styleId="FootnoteTextChar">
    <w:name w:val="Footnote Text Char"/>
    <w:basedOn w:val="DefaultParagraphFont"/>
    <w:link w:val="FootnoteText"/>
    <w:uiPriority w:val="99"/>
    <w:semiHidden/>
    <w:rsid w:val="00C14F2B"/>
    <w:rPr>
      <w:rFonts w:eastAsiaTheme="minorHAnsi"/>
      <w:sz w:val="20"/>
      <w:szCs w:val="20"/>
      <w:lang w:val="en-GB" w:eastAsia="en-US"/>
    </w:rPr>
  </w:style>
  <w:style w:type="character" w:styleId="FootnoteReference">
    <w:name w:val="footnote reference"/>
    <w:basedOn w:val="DefaultParagraphFont"/>
    <w:uiPriority w:val="99"/>
    <w:semiHidden/>
    <w:unhideWhenUsed/>
    <w:rsid w:val="00C14F2B"/>
    <w:rPr>
      <w:vertAlign w:val="superscript"/>
    </w:rPr>
  </w:style>
  <w:style w:type="character" w:styleId="Hyperlink">
    <w:name w:val="Hyperlink"/>
    <w:basedOn w:val="DefaultParagraphFont"/>
    <w:uiPriority w:val="99"/>
    <w:unhideWhenUsed/>
    <w:rsid w:val="00C14F2B"/>
    <w:rPr>
      <w:color w:val="0563C1" w:themeColor="hyperlink"/>
      <w:u w:val="single"/>
    </w:rPr>
  </w:style>
  <w:style w:type="paragraph" w:styleId="EndnoteText">
    <w:name w:val="endnote text"/>
    <w:basedOn w:val="Normal"/>
    <w:link w:val="EndnoteTextChar"/>
    <w:uiPriority w:val="99"/>
    <w:semiHidden/>
    <w:unhideWhenUsed/>
    <w:rsid w:val="00C14F2B"/>
    <w:rPr>
      <w:sz w:val="20"/>
      <w:szCs w:val="20"/>
    </w:rPr>
  </w:style>
  <w:style w:type="character" w:customStyle="1" w:styleId="EndnoteTextChar">
    <w:name w:val="Endnote Text Char"/>
    <w:basedOn w:val="DefaultParagraphFont"/>
    <w:link w:val="EndnoteText"/>
    <w:uiPriority w:val="99"/>
    <w:semiHidden/>
    <w:rsid w:val="00C14F2B"/>
    <w:rPr>
      <w:sz w:val="20"/>
      <w:szCs w:val="20"/>
    </w:rPr>
  </w:style>
  <w:style w:type="character" w:styleId="EndnoteReference">
    <w:name w:val="endnote reference"/>
    <w:basedOn w:val="DefaultParagraphFont"/>
    <w:uiPriority w:val="99"/>
    <w:semiHidden/>
    <w:unhideWhenUsed/>
    <w:rsid w:val="00C14F2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 Type="http://schemas.openxmlformats.org/officeDocument/2006/relationships/hyperlink" Target="file:///C:\Users\reana\OneDrive\Documents\&#8216;English&#8217;.%20%5bn.d.%5d.&#160;Com.Mx&#160;%3chttps:\www.eluniversal.com.mx\english\brave-women-mexican-revolutio%3e%20%5baccessed%2020%20November%202021%5d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10</Pages>
  <Words>2839</Words>
  <Characters>16183</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Benjamin</dc:creator>
  <cp:keywords/>
  <dc:description/>
  <cp:lastModifiedBy>Doyle, Rosie</cp:lastModifiedBy>
  <cp:revision>3</cp:revision>
  <dcterms:created xsi:type="dcterms:W3CDTF">2022-01-11T14:45:00Z</dcterms:created>
  <dcterms:modified xsi:type="dcterms:W3CDTF">2022-11-03T13:34:00Z</dcterms:modified>
</cp:coreProperties>
</file>