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72CE" w:rsidRPr="001772CE" w:rsidRDefault="001772CE" w:rsidP="000C23A1">
      <w:pPr>
        <w:pBdr>
          <w:bottom w:val="single" w:sz="6" w:space="8" w:color="ABABAB"/>
        </w:pBdr>
        <w:shd w:val="clear" w:color="auto" w:fill="FFFFFF"/>
        <w:spacing w:after="0" w:line="240" w:lineRule="auto"/>
        <w:jc w:val="center"/>
        <w:outlineLvl w:val="0"/>
        <w:rPr>
          <w:rFonts w:eastAsia="Times New Roman" w:cstheme="minorHAnsi"/>
          <w:kern w:val="36"/>
          <w:sz w:val="36"/>
          <w:szCs w:val="36"/>
          <w:lang w:eastAsia="en-GB"/>
        </w:rPr>
      </w:pPr>
      <w:r w:rsidRPr="001772CE">
        <w:rPr>
          <w:rFonts w:eastAsia="Times New Roman" w:cstheme="minorHAnsi"/>
          <w:kern w:val="36"/>
          <w:sz w:val="36"/>
          <w:szCs w:val="36"/>
          <w:lang w:eastAsia="en-GB"/>
        </w:rPr>
        <w:t>Week 13: Anthropology and empire, 1800-1900. Race.</w:t>
      </w:r>
    </w:p>
    <w:p w:rsidR="00C51407" w:rsidRDefault="008618BA"/>
    <w:p w:rsidR="001772CE" w:rsidRPr="00660C04" w:rsidRDefault="001772CE" w:rsidP="00660C04">
      <w:pPr>
        <w:pStyle w:val="ListParagraph"/>
        <w:spacing w:after="0"/>
        <w:rPr>
          <w:i/>
        </w:rPr>
      </w:pPr>
      <w:r w:rsidRPr="00660C04">
        <w:rPr>
          <w:i/>
        </w:rPr>
        <w:t xml:space="preserve">Qureshi, </w:t>
      </w:r>
      <w:proofErr w:type="spellStart"/>
      <w:r w:rsidRPr="00660C04">
        <w:rPr>
          <w:i/>
        </w:rPr>
        <w:t>Sadiah</w:t>
      </w:r>
      <w:proofErr w:type="spellEnd"/>
      <w:r w:rsidRPr="00660C04">
        <w:rPr>
          <w:i/>
        </w:rPr>
        <w:t xml:space="preserve">, ‘Displaying Sara </w:t>
      </w:r>
      <w:proofErr w:type="spellStart"/>
      <w:r w:rsidRPr="00660C04">
        <w:rPr>
          <w:i/>
        </w:rPr>
        <w:t>Baartman</w:t>
      </w:r>
      <w:proofErr w:type="spellEnd"/>
      <w:r w:rsidRPr="00660C04">
        <w:rPr>
          <w:i/>
        </w:rPr>
        <w:t>, the ‘Hottentot Venus’, History of Science, 42 (2004)</w:t>
      </w:r>
    </w:p>
    <w:p w:rsidR="001772CE" w:rsidRDefault="001772CE" w:rsidP="001772CE">
      <w:pPr>
        <w:spacing w:after="0"/>
      </w:pPr>
    </w:p>
    <w:p w:rsidR="001772CE" w:rsidRPr="00660C04" w:rsidRDefault="001772CE" w:rsidP="00660C04">
      <w:pPr>
        <w:pStyle w:val="ListParagraph"/>
        <w:spacing w:after="0"/>
        <w:jc w:val="both"/>
        <w:rPr>
          <w:b/>
        </w:rPr>
      </w:pPr>
      <w:r w:rsidRPr="00660C04">
        <w:rPr>
          <w:b/>
        </w:rPr>
        <w:t>Summary of article</w:t>
      </w:r>
    </w:p>
    <w:p w:rsidR="000C23A1" w:rsidRDefault="000C23A1" w:rsidP="00AF29D5">
      <w:pPr>
        <w:spacing w:after="0"/>
        <w:jc w:val="both"/>
      </w:pPr>
    </w:p>
    <w:p w:rsidR="000C23A1" w:rsidRDefault="001772CE" w:rsidP="00660C04">
      <w:pPr>
        <w:pStyle w:val="ListParagraph"/>
        <w:spacing w:after="0"/>
        <w:jc w:val="both"/>
      </w:pPr>
      <w:r w:rsidRPr="00660C04">
        <w:rPr>
          <w:u w:val="single"/>
        </w:rPr>
        <w:t>Changing display</w:t>
      </w:r>
      <w:r>
        <w:t xml:space="preserve"> –</w:t>
      </w:r>
      <w:r w:rsidR="00475667">
        <w:t xml:space="preserve"> when</w:t>
      </w:r>
      <w:r w:rsidR="006465BD">
        <w:t xml:space="preserve"> </w:t>
      </w:r>
      <w:r>
        <w:t xml:space="preserve">she’s alive </w:t>
      </w:r>
      <w:r w:rsidR="006465BD">
        <w:t xml:space="preserve">Sara </w:t>
      </w:r>
      <w:proofErr w:type="spellStart"/>
      <w:r w:rsidR="006465BD">
        <w:t>Baartman</w:t>
      </w:r>
      <w:proofErr w:type="spellEnd"/>
      <w:r w:rsidR="006465BD">
        <w:t xml:space="preserve"> is</w:t>
      </w:r>
      <w:r>
        <w:t xml:space="preserve"> seen as exotic zoo animal, when she’</w:t>
      </w:r>
      <w:r w:rsidR="000C23A1">
        <w:t>s died her skeleton used as a model for displaying a human being, 19</w:t>
      </w:r>
      <w:r w:rsidR="000C23A1" w:rsidRPr="00660C04">
        <w:rPr>
          <w:vertAlign w:val="superscript"/>
        </w:rPr>
        <w:t>th</w:t>
      </w:r>
      <w:r w:rsidR="000C23A1">
        <w:t xml:space="preserve"> century London entertainment scene vs early 20</w:t>
      </w:r>
      <w:r w:rsidR="000C23A1" w:rsidRPr="00660C04">
        <w:rPr>
          <w:vertAlign w:val="superscript"/>
        </w:rPr>
        <w:t>th</w:t>
      </w:r>
      <w:r w:rsidR="000C23A1">
        <w:t xml:space="preserve"> century Paris morgue</w:t>
      </w:r>
    </w:p>
    <w:p w:rsidR="000C23A1" w:rsidRDefault="000C23A1" w:rsidP="000C23A1">
      <w:pPr>
        <w:pStyle w:val="ListParagraph"/>
        <w:numPr>
          <w:ilvl w:val="0"/>
          <w:numId w:val="1"/>
        </w:numPr>
        <w:jc w:val="both"/>
      </w:pPr>
      <w:r>
        <w:t>1</w:t>
      </w:r>
      <w:r w:rsidRPr="000C23A1">
        <w:rPr>
          <w:vertAlign w:val="superscript"/>
        </w:rPr>
        <w:t>st</w:t>
      </w:r>
      <w:r>
        <w:t xml:space="preserve"> displayed in London in early 19</w:t>
      </w:r>
      <w:r w:rsidRPr="000C23A1">
        <w:rPr>
          <w:vertAlign w:val="superscript"/>
        </w:rPr>
        <w:t>th</w:t>
      </w:r>
      <w:r>
        <w:t xml:space="preserve"> century – consider wider contextual factors shapi</w:t>
      </w:r>
      <w:r w:rsidR="006465BD">
        <w:t>ng why and how she is displayed, for example:</w:t>
      </w:r>
    </w:p>
    <w:p w:rsidR="000C23A1" w:rsidRDefault="000C23A1" w:rsidP="000C23A1">
      <w:pPr>
        <w:pStyle w:val="ListParagraph"/>
        <w:numPr>
          <w:ilvl w:val="0"/>
          <w:numId w:val="1"/>
        </w:numPr>
        <w:jc w:val="both"/>
      </w:pPr>
      <w:r>
        <w:t>Menageries and ethnological displays common – reflected in way Baartman is displayed e.g. for purpose of entertainment, near nakedness partly modelled on display of animals, controlled by keeper/put on pedestal (metaphorical whip)</w:t>
      </w:r>
    </w:p>
    <w:p w:rsidR="000C23A1" w:rsidRDefault="000C23A1" w:rsidP="000C23A1">
      <w:pPr>
        <w:pStyle w:val="ListParagraph"/>
        <w:jc w:val="both"/>
      </w:pPr>
      <w:r>
        <w:t xml:space="preserve">Not a static exhibit like you would see in Museum </w:t>
      </w:r>
      <w:proofErr w:type="spellStart"/>
      <w:r>
        <w:t>d'Histoire</w:t>
      </w:r>
      <w:proofErr w:type="spellEnd"/>
      <w:r>
        <w:t xml:space="preserve"> </w:t>
      </w:r>
      <w:proofErr w:type="spellStart"/>
      <w:r>
        <w:t>Naturelle</w:t>
      </w:r>
      <w:proofErr w:type="spellEnd"/>
      <w:r>
        <w:t xml:space="preserve"> in 20</w:t>
      </w:r>
      <w:r w:rsidRPr="000C23A1">
        <w:rPr>
          <w:vertAlign w:val="superscript"/>
        </w:rPr>
        <w:t>th</w:t>
      </w:r>
      <w:r>
        <w:t xml:space="preserve"> century </w:t>
      </w:r>
    </w:p>
    <w:p w:rsidR="000C23A1" w:rsidRDefault="000C23A1" w:rsidP="000C23A1">
      <w:pPr>
        <w:pStyle w:val="ListParagraph"/>
        <w:numPr>
          <w:ilvl w:val="0"/>
          <w:numId w:val="1"/>
        </w:numPr>
        <w:jc w:val="both"/>
      </w:pPr>
      <w:r>
        <w:t xml:space="preserve">Not just way she is displayed but root of these shows – network of collecting of specimens outside of Europe and trading in London </w:t>
      </w:r>
    </w:p>
    <w:p w:rsidR="000C23A1" w:rsidRDefault="006465BD" w:rsidP="000C23A1">
      <w:pPr>
        <w:pStyle w:val="ListParagraph"/>
        <w:numPr>
          <w:ilvl w:val="0"/>
          <w:numId w:val="1"/>
        </w:numPr>
        <w:jc w:val="both"/>
      </w:pPr>
      <w:r>
        <w:t>Later, in Paris, is displayed differently because she is now being examined by naturalists, so is appearing in illustrations in natural history treatises and having her private parts closely examined by the authors of such treatises</w:t>
      </w:r>
    </w:p>
    <w:p w:rsidR="000C23A1" w:rsidRDefault="000C23A1" w:rsidP="00E34FE8">
      <w:pPr>
        <w:spacing w:after="0"/>
        <w:jc w:val="both"/>
      </w:pPr>
    </w:p>
    <w:p w:rsidR="001772CE" w:rsidRDefault="000C23A1" w:rsidP="00660C04">
      <w:pPr>
        <w:pStyle w:val="ListParagraph"/>
        <w:spacing w:after="0"/>
        <w:jc w:val="both"/>
      </w:pPr>
      <w:r w:rsidRPr="00660C04">
        <w:rPr>
          <w:u w:val="single"/>
        </w:rPr>
        <w:t>Colonial hangover</w:t>
      </w:r>
      <w:r>
        <w:t xml:space="preserve"> – display over her in post-colonial period, still having similar arguments now as in colonial period/conflicts over how she’s being presented, continuity in political debates</w:t>
      </w:r>
    </w:p>
    <w:p w:rsidR="000C23A1" w:rsidRDefault="000C23A1" w:rsidP="000C23A1">
      <w:pPr>
        <w:pStyle w:val="ListParagraph"/>
        <w:numPr>
          <w:ilvl w:val="0"/>
          <w:numId w:val="2"/>
        </w:numPr>
        <w:spacing w:after="0"/>
        <w:jc w:val="both"/>
      </w:pPr>
      <w:r>
        <w:t>Abolition of slavery – became flashpoint for abolitionists who denounced it as dehumanising, well-meaning English people trying to release her from captivity/send her to South Africa</w:t>
      </w:r>
    </w:p>
    <w:p w:rsidR="006465BD" w:rsidRDefault="000C23A1" w:rsidP="006465BD">
      <w:pPr>
        <w:pStyle w:val="ListParagraph"/>
        <w:spacing w:after="0"/>
        <w:jc w:val="both"/>
      </w:pPr>
      <w:r>
        <w:t xml:space="preserve">But not purely benevolent – degree of self-interest as used for political interest/to further their own cause of abolition </w:t>
      </w:r>
    </w:p>
    <w:p w:rsidR="006465BD" w:rsidRDefault="00276066" w:rsidP="006465BD">
      <w:pPr>
        <w:pStyle w:val="ListParagraph"/>
        <w:spacing w:after="0"/>
        <w:jc w:val="both"/>
      </w:pPr>
      <w:r>
        <w:t>Note also that this political action changed way she was understoo</w:t>
      </w:r>
      <w:r w:rsidR="00E34FE8">
        <w:t xml:space="preserve">d – rather than just another black woman from South Africa she became </w:t>
      </w:r>
      <w:r>
        <w:t xml:space="preserve">an emblem of </w:t>
      </w:r>
      <w:r w:rsidR="00E34FE8">
        <w:t>what it meant to be a black woman, subtlet</w:t>
      </w:r>
      <w:r w:rsidR="006465BD">
        <w:t>ies</w:t>
      </w:r>
      <w:r w:rsidR="00E34FE8">
        <w:t xml:space="preserve"> about ethnic and cultural differenc</w:t>
      </w:r>
      <w:r w:rsidR="006465BD">
        <w:t xml:space="preserve">es </w:t>
      </w:r>
      <w:r>
        <w:t>between black people were pushed into the background</w:t>
      </w:r>
    </w:p>
    <w:p w:rsidR="000C23A1" w:rsidRDefault="006465BD" w:rsidP="006465BD">
      <w:pPr>
        <w:pStyle w:val="ListParagraph"/>
        <w:numPr>
          <w:ilvl w:val="0"/>
          <w:numId w:val="2"/>
        </w:numPr>
        <w:spacing w:after="0"/>
        <w:jc w:val="both"/>
      </w:pPr>
      <w:r>
        <w:t>Note that many people</w:t>
      </w:r>
      <w:r w:rsidR="000C23A1">
        <w:t xml:space="preserve"> in London during this period saw black people commonly as many </w:t>
      </w:r>
      <w:r w:rsidR="00E34FE8">
        <w:t>recently</w:t>
      </w:r>
      <w:r w:rsidR="000C23A1">
        <w:t xml:space="preserve"> freed slaves (works in domestic roles in the house or as musicians </w:t>
      </w:r>
      <w:proofErr w:type="spellStart"/>
      <w:r w:rsidR="000C23A1">
        <w:t>etc</w:t>
      </w:r>
      <w:proofErr w:type="spellEnd"/>
      <w:r w:rsidR="000C23A1">
        <w:t>)</w:t>
      </w:r>
      <w:r w:rsidR="00276066">
        <w:t xml:space="preserve"> – so </w:t>
      </w:r>
      <w:proofErr w:type="spellStart"/>
      <w:r w:rsidR="00276066">
        <w:t>Baartman</w:t>
      </w:r>
      <w:proofErr w:type="spellEnd"/>
      <w:r w:rsidR="00276066">
        <w:t xml:space="preserve"> became well-known as much for the political work of abolitionists as for the colour of her skin </w:t>
      </w:r>
    </w:p>
    <w:p w:rsidR="00AF29D5" w:rsidRDefault="00AF29D5" w:rsidP="00654892">
      <w:pPr>
        <w:pStyle w:val="ListParagraph"/>
        <w:numPr>
          <w:ilvl w:val="0"/>
          <w:numId w:val="2"/>
        </w:numPr>
        <w:spacing w:after="0"/>
        <w:jc w:val="both"/>
      </w:pPr>
      <w:r>
        <w:t xml:space="preserve">Post-colonial analysis </w:t>
      </w:r>
      <w:r w:rsidR="00276066">
        <w:t>–</w:t>
      </w:r>
      <w:r>
        <w:t xml:space="preserve"> </w:t>
      </w:r>
      <w:r w:rsidR="00276066">
        <w:t xml:space="preserve">Qureshi is suggesting that </w:t>
      </w:r>
      <w:r>
        <w:t xml:space="preserve">by turning </w:t>
      </w:r>
      <w:proofErr w:type="spellStart"/>
      <w:r w:rsidR="00276066">
        <w:t>Baartman’s</w:t>
      </w:r>
      <w:proofErr w:type="spellEnd"/>
      <w:r w:rsidR="00276066">
        <w:t xml:space="preserve"> </w:t>
      </w:r>
      <w:r>
        <w:t xml:space="preserve">remains into </w:t>
      </w:r>
      <w:r w:rsidR="00276066">
        <w:t xml:space="preserve">a </w:t>
      </w:r>
      <w:r>
        <w:t xml:space="preserve">cultural icon we are </w:t>
      </w:r>
      <w:r w:rsidR="00276066">
        <w:t>still treating her as a curiosity</w:t>
      </w:r>
    </w:p>
    <w:p w:rsidR="00AF29D5" w:rsidRDefault="00AF29D5" w:rsidP="00654892">
      <w:pPr>
        <w:pStyle w:val="ListParagraph"/>
        <w:numPr>
          <w:ilvl w:val="0"/>
          <w:numId w:val="2"/>
        </w:numPr>
        <w:spacing w:after="0"/>
        <w:jc w:val="both"/>
      </w:pPr>
      <w:r>
        <w:t>Dilemma as useful to have emblems</w:t>
      </w:r>
      <w:r w:rsidR="00276066">
        <w:t xml:space="preserve"> to support a political cause (whether abolitionist or ‘Bring back the Hottentot Venus)</w:t>
      </w:r>
      <w:r>
        <w:t xml:space="preserve"> but then begin to reduce richness of black female culture to one person – solution could be to work with community itself to find consensus </w:t>
      </w:r>
    </w:p>
    <w:p w:rsidR="00AF29D5" w:rsidRDefault="00276066" w:rsidP="00AF29D5">
      <w:pPr>
        <w:pStyle w:val="ListParagraph"/>
        <w:spacing w:after="0"/>
        <w:jc w:val="both"/>
      </w:pPr>
      <w:r>
        <w:t>And yet, the p</w:t>
      </w:r>
      <w:r w:rsidR="00AF29D5">
        <w:t xml:space="preserve">roject of repatriating remains was team effort involving people of different backgrounds, when returned to South Africa she received official burial, other black South Africans had taken up her political cause – all that is well but if you want to look at specificity you have to observe her history </w:t>
      </w:r>
    </w:p>
    <w:p w:rsidR="00AF29D5" w:rsidRDefault="00276066" w:rsidP="00AF29D5">
      <w:pPr>
        <w:pStyle w:val="ListParagraph"/>
        <w:numPr>
          <w:ilvl w:val="0"/>
          <w:numId w:val="2"/>
        </w:numPr>
        <w:spacing w:after="0"/>
        <w:jc w:val="both"/>
      </w:pPr>
      <w:r>
        <w:lastRenderedPageBreak/>
        <w:t>Perhaps Qureshi uses</w:t>
      </w:r>
      <w:r w:rsidR="00AF29D5">
        <w:t xml:space="preserve"> </w:t>
      </w:r>
      <w:proofErr w:type="spellStart"/>
      <w:r w:rsidR="00BB1EAF">
        <w:t>Baartman</w:t>
      </w:r>
      <w:proofErr w:type="spellEnd"/>
      <w:r w:rsidR="00AF29D5">
        <w:t xml:space="preserve"> to provide a passive lens into how 19</w:t>
      </w:r>
      <w:r w:rsidR="00AF29D5" w:rsidRPr="00AF29D5">
        <w:rPr>
          <w:vertAlign w:val="superscript"/>
        </w:rPr>
        <w:t>th</w:t>
      </w:r>
      <w:r w:rsidR="00AF29D5">
        <w:t xml:space="preserve"> century white Britons viewed</w:t>
      </w:r>
      <w:r w:rsidR="00BB1EAF">
        <w:t xml:space="preserve"> black African women</w:t>
      </w:r>
      <w:r w:rsidR="00AF29D5">
        <w:t xml:space="preserve"> – doesn’t project her thoughts and feel</w:t>
      </w:r>
      <w:r w:rsidR="00BB1EAF">
        <w:t xml:space="preserve">ings/present her as a character, she remains a subject and so doesn’t have capability for agency </w:t>
      </w:r>
    </w:p>
    <w:p w:rsidR="00BB1EAF" w:rsidRDefault="00BB1EAF" w:rsidP="00BB1EAF">
      <w:pPr>
        <w:pStyle w:val="ListParagraph"/>
        <w:spacing w:after="0"/>
        <w:jc w:val="both"/>
      </w:pPr>
      <w:r>
        <w:t xml:space="preserve">Generates questions on whether we should even write about her in the first place – author notes how there is a lack of diary entries/any means of reflecting her individual thoughts </w:t>
      </w:r>
    </w:p>
    <w:p w:rsidR="00660C04" w:rsidRDefault="00660C04" w:rsidP="00660C04">
      <w:pPr>
        <w:pStyle w:val="ListParagraph"/>
        <w:spacing w:after="0"/>
        <w:jc w:val="both"/>
      </w:pPr>
    </w:p>
    <w:p w:rsidR="00276066" w:rsidRDefault="00276066" w:rsidP="00660C04">
      <w:pPr>
        <w:pStyle w:val="ListParagraph"/>
        <w:spacing w:after="0"/>
        <w:jc w:val="both"/>
        <w:rPr>
          <w:i/>
        </w:rPr>
      </w:pPr>
    </w:p>
    <w:p w:rsidR="001772CE" w:rsidRPr="00660C04" w:rsidRDefault="001772CE" w:rsidP="00660C04">
      <w:pPr>
        <w:pStyle w:val="ListParagraph"/>
        <w:spacing w:after="0"/>
        <w:jc w:val="both"/>
        <w:rPr>
          <w:i/>
        </w:rPr>
      </w:pPr>
      <w:proofErr w:type="spellStart"/>
      <w:r w:rsidRPr="00660C04">
        <w:rPr>
          <w:i/>
        </w:rPr>
        <w:t>Kuklick</w:t>
      </w:r>
      <w:proofErr w:type="spellEnd"/>
      <w:r w:rsidRPr="00660C04">
        <w:rPr>
          <w:i/>
        </w:rPr>
        <w:t xml:space="preserve">, </w:t>
      </w:r>
      <w:proofErr w:type="spellStart"/>
      <w:r w:rsidRPr="00660C04">
        <w:rPr>
          <w:i/>
        </w:rPr>
        <w:t>Henrika</w:t>
      </w:r>
      <w:proofErr w:type="spellEnd"/>
      <w:r w:rsidRPr="00660C04">
        <w:rPr>
          <w:i/>
        </w:rPr>
        <w:t>, ‘Personal Equations: Reflections on the History of Fieldwork, with Special Reference to Sociocultural Anthropology’, Isis, 102 (2011)</w:t>
      </w:r>
    </w:p>
    <w:p w:rsidR="001772CE" w:rsidRDefault="001772CE" w:rsidP="000C23A1">
      <w:pPr>
        <w:spacing w:after="0"/>
        <w:jc w:val="both"/>
      </w:pPr>
    </w:p>
    <w:p w:rsidR="001772CE" w:rsidRPr="00660C04" w:rsidRDefault="00BB1EAF" w:rsidP="00660C04">
      <w:pPr>
        <w:pStyle w:val="ListParagraph"/>
        <w:spacing w:after="0"/>
        <w:jc w:val="both"/>
        <w:rPr>
          <w:b/>
        </w:rPr>
      </w:pPr>
      <w:r w:rsidRPr="00660C04">
        <w:rPr>
          <w:b/>
        </w:rPr>
        <w:t>Summary of article</w:t>
      </w:r>
    </w:p>
    <w:p w:rsidR="00660C04" w:rsidRDefault="00660C04" w:rsidP="000C23A1">
      <w:pPr>
        <w:spacing w:after="0"/>
        <w:jc w:val="both"/>
        <w:rPr>
          <w:b/>
        </w:rPr>
      </w:pPr>
    </w:p>
    <w:p w:rsidR="00D13F66" w:rsidRDefault="00D13F66" w:rsidP="00660C04">
      <w:pPr>
        <w:pStyle w:val="ListParagraph"/>
        <w:spacing w:after="0"/>
        <w:jc w:val="both"/>
        <w:rPr>
          <w:u w:val="single"/>
        </w:rPr>
      </w:pPr>
      <w:r w:rsidRPr="00660C04">
        <w:rPr>
          <w:u w:val="single"/>
        </w:rPr>
        <w:t xml:space="preserve">Infrastructure of Empire </w:t>
      </w:r>
    </w:p>
    <w:p w:rsidR="00276066" w:rsidRPr="00660C04" w:rsidRDefault="00276066" w:rsidP="00660C04">
      <w:pPr>
        <w:pStyle w:val="ListParagraph"/>
        <w:spacing w:after="0"/>
        <w:jc w:val="both"/>
        <w:rPr>
          <w:u w:val="single"/>
        </w:rPr>
      </w:pPr>
    </w:p>
    <w:p w:rsidR="00D13F66" w:rsidRDefault="00D13F66" w:rsidP="00D13F66">
      <w:pPr>
        <w:pStyle w:val="ListParagraph"/>
        <w:numPr>
          <w:ilvl w:val="0"/>
          <w:numId w:val="2"/>
        </w:numPr>
        <w:spacing w:after="0"/>
        <w:jc w:val="both"/>
      </w:pPr>
      <w:r>
        <w:t xml:space="preserve">Facilitated a more professional approach to anthropology through fieldwork </w:t>
      </w:r>
    </w:p>
    <w:p w:rsidR="00BB1EAF" w:rsidRDefault="00D13F66" w:rsidP="00D13F66">
      <w:pPr>
        <w:pStyle w:val="ListParagraph"/>
        <w:numPr>
          <w:ilvl w:val="0"/>
          <w:numId w:val="2"/>
        </w:numPr>
        <w:spacing w:after="0"/>
        <w:jc w:val="both"/>
      </w:pPr>
      <w:r>
        <w:t>C</w:t>
      </w:r>
      <w:r w:rsidR="00660C04">
        <w:t>reated</w:t>
      </w:r>
      <w:r>
        <w:t xml:space="preserve"> means of communication/exposure to new people </w:t>
      </w:r>
      <w:r w:rsidR="003519A7">
        <w:t>which allowed</w:t>
      </w:r>
      <w:r>
        <w:t xml:space="preserve"> for new professionalised anthropology to take place, moving away from amateurs interested in specimens </w:t>
      </w:r>
      <w:r w:rsidR="00660C04">
        <w:t xml:space="preserve">to paid roles </w:t>
      </w:r>
    </w:p>
    <w:p w:rsidR="00D13F66" w:rsidRDefault="00D13F66" w:rsidP="00D13F66">
      <w:pPr>
        <w:pStyle w:val="ListParagraph"/>
        <w:numPr>
          <w:ilvl w:val="0"/>
          <w:numId w:val="2"/>
        </w:numPr>
        <w:spacing w:after="0"/>
        <w:jc w:val="both"/>
      </w:pPr>
      <w:r>
        <w:t xml:space="preserve">Imperial infrastructure helpful to these naturalists – the </w:t>
      </w:r>
      <w:r w:rsidR="00660C04">
        <w:t xml:space="preserve">railways, telegraphs </w:t>
      </w:r>
      <w:proofErr w:type="spellStart"/>
      <w:r w:rsidR="00660C04">
        <w:t>etc</w:t>
      </w:r>
      <w:proofErr w:type="spellEnd"/>
      <w:r w:rsidR="00660C04">
        <w:t xml:space="preserve"> </w:t>
      </w:r>
      <w:r>
        <w:t xml:space="preserve"> </w:t>
      </w:r>
    </w:p>
    <w:p w:rsidR="00D13F66" w:rsidRDefault="00D13F66" w:rsidP="00D13F66">
      <w:pPr>
        <w:pStyle w:val="ListParagraph"/>
        <w:spacing w:after="0"/>
        <w:jc w:val="both"/>
      </w:pPr>
      <w:r>
        <w:t xml:space="preserve">Military conquest of new territories provided a fresh terrain in which to investigate </w:t>
      </w:r>
    </w:p>
    <w:p w:rsidR="00D13F66" w:rsidRDefault="00D13F66" w:rsidP="00660C04">
      <w:pPr>
        <w:pStyle w:val="ListParagraph"/>
        <w:numPr>
          <w:ilvl w:val="0"/>
          <w:numId w:val="2"/>
        </w:numPr>
        <w:spacing w:after="0"/>
        <w:jc w:val="both"/>
      </w:pPr>
      <w:r>
        <w:t xml:space="preserve">Patronage – useful to ask who is paying for scientific research to be done, in this case colonial state trying to solve colonial problem e.g. preventing </w:t>
      </w:r>
      <w:r w:rsidR="00276066">
        <w:t>British soldiers/administrators from</w:t>
      </w:r>
      <w:r>
        <w:t xml:space="preserve"> dying from disease </w:t>
      </w:r>
    </w:p>
    <w:p w:rsidR="00660C04" w:rsidRDefault="00660C04" w:rsidP="00660C04">
      <w:pPr>
        <w:pStyle w:val="ListParagraph"/>
        <w:spacing w:after="0"/>
        <w:jc w:val="both"/>
      </w:pPr>
    </w:p>
    <w:p w:rsidR="00660C04" w:rsidRDefault="00660C04" w:rsidP="00660C04">
      <w:pPr>
        <w:pStyle w:val="ListParagraph"/>
        <w:spacing w:after="0"/>
        <w:jc w:val="both"/>
      </w:pPr>
    </w:p>
    <w:p w:rsidR="00660C04" w:rsidRDefault="00660C04" w:rsidP="00660C04">
      <w:pPr>
        <w:pStyle w:val="ListParagraph"/>
        <w:spacing w:after="0"/>
        <w:jc w:val="both"/>
      </w:pPr>
      <w:r w:rsidRPr="00660C04">
        <w:rPr>
          <w:u w:val="single"/>
        </w:rPr>
        <w:t>Professionalisation aspect</w:t>
      </w:r>
      <w:r>
        <w:t xml:space="preserve"> </w:t>
      </w:r>
    </w:p>
    <w:p w:rsidR="00276066" w:rsidRDefault="00276066" w:rsidP="00660C04">
      <w:pPr>
        <w:pStyle w:val="ListParagraph"/>
        <w:spacing w:after="0"/>
        <w:jc w:val="both"/>
      </w:pPr>
    </w:p>
    <w:p w:rsidR="00660C04" w:rsidRDefault="00660C04" w:rsidP="00660C04">
      <w:pPr>
        <w:pStyle w:val="ListParagraph"/>
        <w:numPr>
          <w:ilvl w:val="0"/>
          <w:numId w:val="2"/>
        </w:numPr>
        <w:spacing w:after="0"/>
        <w:jc w:val="both"/>
      </w:pPr>
      <w:r>
        <w:t>Set of standards and methods through which the workers conducted e.g. quan</w:t>
      </w:r>
      <w:r w:rsidR="00475667">
        <w:t>ti</w:t>
      </w:r>
      <w:r>
        <w:t xml:space="preserve">tative </w:t>
      </w:r>
      <w:r w:rsidR="00475667">
        <w:t xml:space="preserve"> </w:t>
      </w:r>
      <w:r>
        <w:t xml:space="preserve">methodology </w:t>
      </w:r>
    </w:p>
    <w:p w:rsidR="00660C04" w:rsidRDefault="00660C04" w:rsidP="00660C04">
      <w:pPr>
        <w:pStyle w:val="ListParagraph"/>
        <w:numPr>
          <w:ilvl w:val="0"/>
          <w:numId w:val="2"/>
        </w:numPr>
        <w:spacing w:after="0"/>
        <w:jc w:val="both"/>
      </w:pPr>
      <w:r>
        <w:t xml:space="preserve">Observation, empathy – not just change in tools they’re using but change in </w:t>
      </w:r>
      <w:r w:rsidR="00475667">
        <w:t>mind set</w:t>
      </w:r>
      <w:r>
        <w:t>/mental attitude to their work, rather than just objective tried to empathise on intellectual and personal level</w:t>
      </w:r>
    </w:p>
    <w:p w:rsidR="00660C04" w:rsidRDefault="00660C04" w:rsidP="00660C04">
      <w:pPr>
        <w:pStyle w:val="ListParagraph"/>
        <w:numPr>
          <w:ilvl w:val="0"/>
          <w:numId w:val="2"/>
        </w:numPr>
        <w:spacing w:after="0"/>
        <w:jc w:val="both"/>
      </w:pPr>
      <w:r>
        <w:t xml:space="preserve">Immersion  - published photographs portraying </w:t>
      </w:r>
      <w:r w:rsidR="00475667">
        <w:t>ethnographers</w:t>
      </w:r>
      <w:r>
        <w:t xml:space="preserve"> </w:t>
      </w:r>
      <w:r w:rsidR="00475667">
        <w:t xml:space="preserve">absorbed in the culture </w:t>
      </w:r>
    </w:p>
    <w:p w:rsidR="00276066" w:rsidRDefault="00276066" w:rsidP="00276066">
      <w:pPr>
        <w:spacing w:after="0"/>
        <w:jc w:val="both"/>
      </w:pPr>
    </w:p>
    <w:p w:rsidR="00276066" w:rsidRDefault="00276066" w:rsidP="00276066">
      <w:pPr>
        <w:spacing w:after="0"/>
        <w:jc w:val="both"/>
      </w:pPr>
    </w:p>
    <w:p w:rsidR="00276066" w:rsidRDefault="00276066" w:rsidP="00276066">
      <w:pPr>
        <w:spacing w:after="0"/>
        <w:jc w:val="both"/>
      </w:pPr>
      <w:r w:rsidRPr="00276066">
        <w:rPr>
          <w:b/>
        </w:rPr>
        <w:t>Summary:</w:t>
      </w:r>
      <w:r>
        <w:t xml:space="preserve"> two very different papers that do the same thing, </w:t>
      </w:r>
      <w:proofErr w:type="spellStart"/>
      <w:r>
        <w:t>ie</w:t>
      </w:r>
      <w:proofErr w:type="spellEnd"/>
      <w:r>
        <w:t xml:space="preserve">. </w:t>
      </w:r>
      <w:proofErr w:type="gramStart"/>
      <w:r>
        <w:t>link</w:t>
      </w:r>
      <w:proofErr w:type="gramEnd"/>
      <w:r>
        <w:t xml:space="preserve"> the history of race science to the colonial context</w:t>
      </w:r>
    </w:p>
    <w:p w:rsidR="00D13F66" w:rsidRDefault="00D13F66" w:rsidP="000C23A1">
      <w:pPr>
        <w:spacing w:after="0"/>
        <w:jc w:val="both"/>
      </w:pPr>
    </w:p>
    <w:p w:rsidR="001241F5" w:rsidRDefault="001241F5" w:rsidP="000C23A1">
      <w:pPr>
        <w:spacing w:after="0"/>
        <w:jc w:val="both"/>
      </w:pPr>
    </w:p>
    <w:p w:rsidR="001241F5" w:rsidRDefault="001241F5" w:rsidP="000C23A1">
      <w:pPr>
        <w:spacing w:after="0"/>
        <w:jc w:val="both"/>
      </w:pPr>
    </w:p>
    <w:p w:rsidR="001241F5" w:rsidRDefault="001241F5" w:rsidP="000C23A1">
      <w:pPr>
        <w:spacing w:after="0"/>
        <w:jc w:val="both"/>
      </w:pPr>
    </w:p>
    <w:p w:rsidR="001241F5" w:rsidRDefault="001241F5" w:rsidP="000C23A1">
      <w:pPr>
        <w:spacing w:after="0"/>
        <w:jc w:val="both"/>
      </w:pPr>
    </w:p>
    <w:p w:rsidR="001241F5" w:rsidRDefault="001241F5" w:rsidP="000C23A1">
      <w:pPr>
        <w:spacing w:after="0"/>
        <w:jc w:val="both"/>
      </w:pPr>
    </w:p>
    <w:p w:rsidR="001241F5" w:rsidRDefault="001241F5" w:rsidP="000C23A1">
      <w:pPr>
        <w:spacing w:after="0"/>
        <w:jc w:val="both"/>
      </w:pPr>
    </w:p>
    <w:p w:rsidR="001241F5" w:rsidRDefault="001241F5" w:rsidP="000C23A1">
      <w:pPr>
        <w:spacing w:after="0"/>
        <w:jc w:val="both"/>
      </w:pPr>
    </w:p>
    <w:p w:rsidR="001241F5" w:rsidRPr="00BB1EAF" w:rsidRDefault="001241F5" w:rsidP="000C23A1">
      <w:pPr>
        <w:spacing w:after="0"/>
        <w:jc w:val="both"/>
      </w:pPr>
      <w:bookmarkStart w:id="0" w:name="_GoBack"/>
      <w:bookmarkEnd w:id="0"/>
    </w:p>
    <w:sectPr w:rsidR="001241F5" w:rsidRPr="00BB1EA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C96B37"/>
    <w:multiLevelType w:val="hybridMultilevel"/>
    <w:tmpl w:val="01789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47119D"/>
    <w:multiLevelType w:val="hybridMultilevel"/>
    <w:tmpl w:val="6F8E24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16459C2"/>
    <w:multiLevelType w:val="hybridMultilevel"/>
    <w:tmpl w:val="530447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BA50537"/>
    <w:multiLevelType w:val="hybridMultilevel"/>
    <w:tmpl w:val="9D7C0D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6CA06F9"/>
    <w:multiLevelType w:val="hybridMultilevel"/>
    <w:tmpl w:val="4E14A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72CE"/>
    <w:rsid w:val="000C23A1"/>
    <w:rsid w:val="001241F5"/>
    <w:rsid w:val="00172240"/>
    <w:rsid w:val="001772CE"/>
    <w:rsid w:val="00276066"/>
    <w:rsid w:val="003519A7"/>
    <w:rsid w:val="00475667"/>
    <w:rsid w:val="006465BD"/>
    <w:rsid w:val="00660C04"/>
    <w:rsid w:val="008618BA"/>
    <w:rsid w:val="00AF29D5"/>
    <w:rsid w:val="00BB1EAF"/>
    <w:rsid w:val="00D07FB7"/>
    <w:rsid w:val="00D13F66"/>
    <w:rsid w:val="00E34FE8"/>
    <w:rsid w:val="00F82F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938B3E6-F4A4-441E-A533-4CB6F0CF6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1772C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772CE"/>
    <w:rPr>
      <w:rFonts w:ascii="Times New Roman" w:eastAsia="Times New Roman" w:hAnsi="Times New Roman" w:cs="Times New Roman"/>
      <w:b/>
      <w:bCs/>
      <w:kern w:val="36"/>
      <w:sz w:val="48"/>
      <w:szCs w:val="48"/>
      <w:lang w:eastAsia="en-GB"/>
    </w:rPr>
  </w:style>
  <w:style w:type="paragraph" w:styleId="ListParagraph">
    <w:name w:val="List Paragraph"/>
    <w:basedOn w:val="Normal"/>
    <w:uiPriority w:val="34"/>
    <w:qFormat/>
    <w:rsid w:val="001772C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3898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8C40A7A9</Template>
  <TotalTime>179</TotalTime>
  <Pages>2</Pages>
  <Words>720</Words>
  <Characters>4108</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Sinclair</dc:creator>
  <cp:keywords/>
  <dc:description/>
  <cp:lastModifiedBy>Bycroft, Michael</cp:lastModifiedBy>
  <cp:revision>3</cp:revision>
  <dcterms:created xsi:type="dcterms:W3CDTF">2019-01-24T13:29:00Z</dcterms:created>
  <dcterms:modified xsi:type="dcterms:W3CDTF">2019-01-24T16:27:00Z</dcterms:modified>
</cp:coreProperties>
</file>