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D9F2D0" w:themeColor="accent6" w:themeTint="33"/>
  <w:body>
    <w:tbl>
      <w:tblPr>
        <w:tblStyle w:val="TableGrid"/>
        <w:tblW w:w="1006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54"/>
        <w:gridCol w:w="6712"/>
      </w:tblGrid>
      <w:tr w:rsidR="009426F9" w:rsidRPr="00523E13" w14:paraId="08368FB8" w14:textId="77777777" w:rsidTr="00227FB6">
        <w:trPr>
          <w:trHeight w:val="1668"/>
        </w:trPr>
        <w:tc>
          <w:tcPr>
            <w:tcW w:w="3354" w:type="dxa"/>
            <w:vMerge w:val="restart"/>
          </w:tcPr>
          <w:p w14:paraId="7C012DAC" w14:textId="35478FE2" w:rsidR="009426F9" w:rsidRPr="00523E13" w:rsidRDefault="009426F9">
            <w:pPr>
              <w:rPr>
                <w:rFonts w:ascii="Garamond" w:hAnsi="Garamond"/>
              </w:rPr>
            </w:pPr>
            <w:r w:rsidRPr="00523E13">
              <w:rPr>
                <w:rFonts w:ascii="Garamond" w:hAnsi="Garamond"/>
                <w:noProof/>
                <w:sz w:val="25"/>
                <w:szCs w:val="25"/>
              </w:rPr>
              <w:drawing>
                <wp:anchor distT="0" distB="0" distL="114300" distR="114300" simplePos="0" relativeHeight="251661312" behindDoc="0" locked="0" layoutInCell="1" allowOverlap="1" wp14:anchorId="1567ADA4" wp14:editId="7C95BC83">
                  <wp:simplePos x="0" y="0"/>
                  <wp:positionH relativeFrom="column">
                    <wp:posOffset>164465</wp:posOffset>
                  </wp:positionH>
                  <wp:positionV relativeFrom="paragraph">
                    <wp:posOffset>-558800</wp:posOffset>
                  </wp:positionV>
                  <wp:extent cx="2330450" cy="2540000"/>
                  <wp:effectExtent l="0" t="0" r="0" b="0"/>
                  <wp:wrapNone/>
                  <wp:docPr id="538428486" name="Picture 1" descr="Miller Atlas - Alchetron, The Free Social Encyclopedi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Miller Atlas - Alchetron, The Free Social Encyclopedi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1123" cy="25407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712" w:type="dxa"/>
          </w:tcPr>
          <w:p w14:paraId="5442229C" w14:textId="224EC7B3" w:rsidR="009426F9" w:rsidRPr="00523E13" w:rsidRDefault="009426F9">
            <w:pPr>
              <w:rPr>
                <w:rFonts w:ascii="Garamond" w:hAnsi="Garamond"/>
              </w:rPr>
            </w:pPr>
            <w:r w:rsidRPr="00523E13">
              <w:rPr>
                <w:rFonts w:ascii="Garamond" w:hAnsi="Garamond"/>
                <w:noProof/>
                <w:sz w:val="25"/>
                <w:szCs w:val="25"/>
              </w:rPr>
              <w:drawing>
                <wp:anchor distT="0" distB="0" distL="114300" distR="114300" simplePos="0" relativeHeight="251662336" behindDoc="0" locked="0" layoutInCell="1" allowOverlap="1" wp14:anchorId="434FEFB3" wp14:editId="7C93E534">
                  <wp:simplePos x="0" y="0"/>
                  <wp:positionH relativeFrom="column">
                    <wp:posOffset>473075</wp:posOffset>
                  </wp:positionH>
                  <wp:positionV relativeFrom="paragraph">
                    <wp:posOffset>-558800</wp:posOffset>
                  </wp:positionV>
                  <wp:extent cx="3008630" cy="1339850"/>
                  <wp:effectExtent l="0" t="0" r="1270" b="0"/>
                  <wp:wrapNone/>
                  <wp:docPr id="1280093088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50035" cy="13582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426F9" w:rsidRPr="00523E13" w14:paraId="5C296D2E" w14:textId="77777777" w:rsidTr="00227FB6">
        <w:trPr>
          <w:trHeight w:val="1668"/>
        </w:trPr>
        <w:tc>
          <w:tcPr>
            <w:tcW w:w="3354" w:type="dxa"/>
            <w:vMerge/>
          </w:tcPr>
          <w:p w14:paraId="30343F8A" w14:textId="77777777" w:rsidR="009426F9" w:rsidRPr="00523E13" w:rsidRDefault="009426F9">
            <w:pPr>
              <w:rPr>
                <w:rFonts w:ascii="Garamond" w:hAnsi="Garamond"/>
              </w:rPr>
            </w:pPr>
          </w:p>
        </w:tc>
        <w:tc>
          <w:tcPr>
            <w:tcW w:w="6712" w:type="dxa"/>
          </w:tcPr>
          <w:p w14:paraId="0EA0092E" w14:textId="77777777" w:rsidR="009426F9" w:rsidRDefault="009426F9">
            <w:pPr>
              <w:rPr>
                <w:rFonts w:ascii="Garamond" w:hAnsi="Garamond"/>
              </w:rPr>
            </w:pPr>
            <w:r w:rsidRPr="00523E13">
              <w:rPr>
                <w:rFonts w:ascii="Garamond" w:hAnsi="Garamond"/>
                <w:i/>
                <w:iCs/>
                <w:noProof/>
                <w:sz w:val="25"/>
                <w:szCs w:val="25"/>
              </w:rPr>
              <w:drawing>
                <wp:anchor distT="0" distB="0" distL="114300" distR="114300" simplePos="0" relativeHeight="251663360" behindDoc="0" locked="0" layoutInCell="1" allowOverlap="1" wp14:anchorId="3930BEF5" wp14:editId="17365DAB">
                  <wp:simplePos x="0" y="0"/>
                  <wp:positionH relativeFrom="column">
                    <wp:posOffset>454025</wp:posOffset>
                  </wp:positionH>
                  <wp:positionV relativeFrom="paragraph">
                    <wp:posOffset>-335915</wp:posOffset>
                  </wp:positionV>
                  <wp:extent cx="3060700" cy="1231900"/>
                  <wp:effectExtent l="0" t="0" r="6350" b="6350"/>
                  <wp:wrapNone/>
                  <wp:docPr id="6" name="Picture 5" descr="Dibujado y litogrdo por Edo LAPLANTE&#10;&#10;publicado por L. Marquier y Laplante Obra-pia nº 121-1/2 Habana&#10;&#10;Litografía del L. MARQUIER.&#10;&#10;INGENIO ACANA&#10;&#10;Propiedad del Sor. Dn. J. EUSEBIO ALFONSO.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97B58C18-2108-5FEA-3A12-8299ADBBEBC9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5" descr="Dibujado y litogrdo por Edo LAPLANTE&#10;&#10;publicado por L. Marquier y Laplante Obra-pia nº 121-1/2 Habana&#10;&#10;Litografía del L. MARQUIER.&#10;&#10;INGENIO ACANA&#10;&#10;Propiedad del Sor. Dn. J. EUSEBIO ALFONSO.">
                            <a:extLst>
                              <a:ext uri="{FF2B5EF4-FFF2-40B4-BE49-F238E27FC236}">
                                <a16:creationId xmlns:a16="http://schemas.microsoft.com/office/drawing/2014/main" id="{97B58C18-2108-5FEA-3A12-8299ADBBEBC9}"/>
                              </a:ext>
                            </a:extLst>
                          </pic:cNvPr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60700" cy="1231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694E380" w14:textId="77777777" w:rsidR="005217BE" w:rsidRPr="005217BE" w:rsidRDefault="005217BE" w:rsidP="005217BE">
            <w:pPr>
              <w:rPr>
                <w:rFonts w:ascii="Garamond" w:hAnsi="Garamond"/>
              </w:rPr>
            </w:pPr>
          </w:p>
          <w:p w14:paraId="5BE56D34" w14:textId="77777777" w:rsidR="005217BE" w:rsidRPr="005217BE" w:rsidRDefault="005217BE" w:rsidP="005217BE">
            <w:pPr>
              <w:rPr>
                <w:rFonts w:ascii="Garamond" w:hAnsi="Garamond"/>
              </w:rPr>
            </w:pPr>
          </w:p>
          <w:p w14:paraId="62420B10" w14:textId="77777777" w:rsidR="005217BE" w:rsidRDefault="005217BE" w:rsidP="005217BE">
            <w:pPr>
              <w:rPr>
                <w:rFonts w:ascii="Garamond" w:hAnsi="Garamond"/>
              </w:rPr>
            </w:pPr>
          </w:p>
          <w:p w14:paraId="5F7665BA" w14:textId="30AEB3B4" w:rsidR="005217BE" w:rsidRPr="005217BE" w:rsidRDefault="005217BE" w:rsidP="00227FB6">
            <w:pPr>
              <w:rPr>
                <w:rFonts w:ascii="Garamond" w:hAnsi="Garamond"/>
              </w:rPr>
            </w:pPr>
          </w:p>
        </w:tc>
      </w:tr>
    </w:tbl>
    <w:p w14:paraId="1733E3AD" w14:textId="17F8E602" w:rsidR="00004A75" w:rsidRPr="00523E13" w:rsidRDefault="00004A75" w:rsidP="005217BE">
      <w:pPr>
        <w:spacing w:after="0"/>
        <w:jc w:val="center"/>
        <w:rPr>
          <w:rFonts w:ascii="Garamond" w:hAnsi="Garamond"/>
          <w:b/>
          <w:bCs/>
          <w:sz w:val="44"/>
          <w:szCs w:val="44"/>
        </w:rPr>
      </w:pPr>
      <w:r w:rsidRPr="00523E13">
        <w:rPr>
          <w:rFonts w:ascii="Garamond" w:hAnsi="Garamond"/>
          <w:b/>
          <w:bCs/>
          <w:sz w:val="44"/>
          <w:szCs w:val="44"/>
        </w:rPr>
        <w:t>Paths of Enslavement, Routes to Freedom:</w:t>
      </w:r>
    </w:p>
    <w:p w14:paraId="0AF4E529" w14:textId="5042E286" w:rsidR="00523E13" w:rsidRPr="00523E13" w:rsidRDefault="00004A75" w:rsidP="00227FB6">
      <w:pPr>
        <w:spacing w:after="0"/>
        <w:jc w:val="center"/>
        <w:rPr>
          <w:rFonts w:ascii="Garamond" w:hAnsi="Garamond"/>
          <w:b/>
          <w:bCs/>
          <w:sz w:val="36"/>
          <w:szCs w:val="36"/>
        </w:rPr>
      </w:pPr>
      <w:r w:rsidRPr="00523E13">
        <w:rPr>
          <w:rFonts w:ascii="Garamond" w:hAnsi="Garamond"/>
          <w:b/>
          <w:bCs/>
          <w:sz w:val="36"/>
          <w:szCs w:val="36"/>
        </w:rPr>
        <w:t>Slavery and Mobility in the Iberian Atlantic World</w:t>
      </w:r>
    </w:p>
    <w:p w14:paraId="142F98FB" w14:textId="1AFAF1BB" w:rsidR="006F3282" w:rsidRPr="00523E13" w:rsidRDefault="00523E13" w:rsidP="005217BE">
      <w:pPr>
        <w:jc w:val="center"/>
        <w:rPr>
          <w:rFonts w:ascii="Garamond" w:hAnsi="Garamond"/>
          <w:b/>
          <w:bCs/>
        </w:rPr>
      </w:pPr>
      <w:r w:rsidRPr="00523E13">
        <w:rPr>
          <w:rFonts w:ascii="Garamond" w:hAnsi="Garamond"/>
          <w:b/>
          <w:bCs/>
        </w:rPr>
        <w:t xml:space="preserve">11.45am-5.30pm, </w:t>
      </w:r>
      <w:r>
        <w:rPr>
          <w:rFonts w:ascii="Garamond" w:hAnsi="Garamond"/>
          <w:b/>
          <w:bCs/>
        </w:rPr>
        <w:t xml:space="preserve">Monday </w:t>
      </w:r>
      <w:r w:rsidRPr="00523E13">
        <w:rPr>
          <w:rFonts w:ascii="Garamond" w:hAnsi="Garamond"/>
          <w:b/>
          <w:bCs/>
        </w:rPr>
        <w:t>29 April 2024</w:t>
      </w:r>
      <w:r w:rsidR="005217BE">
        <w:rPr>
          <w:rFonts w:ascii="Garamond" w:hAnsi="Garamond"/>
          <w:b/>
          <w:bCs/>
        </w:rPr>
        <w:t xml:space="preserve">, </w:t>
      </w:r>
      <w:r w:rsidR="00004A75" w:rsidRPr="00523E13">
        <w:rPr>
          <w:rFonts w:ascii="Garamond" w:hAnsi="Garamond"/>
          <w:b/>
          <w:bCs/>
        </w:rPr>
        <w:t>FAB5.01, Faculty of Arts Building</w:t>
      </w:r>
    </w:p>
    <w:p w14:paraId="7CE439DD" w14:textId="2C288A9F" w:rsidR="000116B3" w:rsidRPr="000116B3" w:rsidRDefault="000116B3" w:rsidP="00523E13">
      <w:pPr>
        <w:rPr>
          <w:rFonts w:ascii="Garamond" w:hAnsi="Garamond"/>
          <w:b/>
          <w:bCs/>
          <w:i/>
          <w:iCs/>
          <w:sz w:val="25"/>
          <w:szCs w:val="25"/>
        </w:rPr>
      </w:pPr>
      <w:r>
        <w:rPr>
          <w:rFonts w:ascii="Garamond" w:hAnsi="Garamond"/>
          <w:b/>
          <w:bCs/>
          <w:i/>
          <w:iCs/>
          <w:sz w:val="25"/>
          <w:szCs w:val="25"/>
        </w:rPr>
        <w:t xml:space="preserve">This workshop connects the rich historiography of slavery and emancipation in the Iberian Atlantic world to the fields of spatial and mobilities history. </w:t>
      </w:r>
      <w:r>
        <w:rPr>
          <w:rFonts w:ascii="Garamond" w:hAnsi="Garamond"/>
          <w:b/>
          <w:bCs/>
          <w:sz w:val="25"/>
          <w:szCs w:val="25"/>
        </w:rPr>
        <w:t>Paths of Enslavement</w:t>
      </w:r>
      <w:r>
        <w:rPr>
          <w:rFonts w:ascii="Garamond" w:hAnsi="Garamond"/>
          <w:b/>
          <w:bCs/>
          <w:i/>
          <w:iCs/>
          <w:sz w:val="25"/>
          <w:szCs w:val="25"/>
        </w:rPr>
        <w:t xml:space="preserve"> reveals enslaved people’s ability to harness mobilities in creative, resistive ways, and considers how Latin American archive sources on this topic can be used for teaching in schools and universities. </w:t>
      </w:r>
    </w:p>
    <w:p w14:paraId="31A77F14" w14:textId="6996EDDA" w:rsidR="006635E6" w:rsidRPr="005217BE" w:rsidRDefault="006635E6" w:rsidP="00523E13">
      <w:pPr>
        <w:rPr>
          <w:rFonts w:ascii="Garamond" w:hAnsi="Garamond"/>
          <w:b/>
          <w:bCs/>
          <w:sz w:val="25"/>
          <w:szCs w:val="25"/>
        </w:rPr>
      </w:pPr>
      <w:r w:rsidRPr="005217BE">
        <w:rPr>
          <w:rFonts w:ascii="Garamond" w:hAnsi="Garamond"/>
          <w:b/>
          <w:bCs/>
          <w:sz w:val="25"/>
          <w:szCs w:val="25"/>
        </w:rPr>
        <w:t xml:space="preserve">José Lingna </w:t>
      </w:r>
      <w:proofErr w:type="spellStart"/>
      <w:r w:rsidRPr="005217BE">
        <w:rPr>
          <w:rFonts w:ascii="Garamond" w:hAnsi="Garamond"/>
          <w:b/>
          <w:bCs/>
          <w:sz w:val="25"/>
          <w:szCs w:val="25"/>
        </w:rPr>
        <w:t>Nafafé</w:t>
      </w:r>
      <w:proofErr w:type="spellEnd"/>
      <w:r w:rsidRPr="005217BE">
        <w:rPr>
          <w:rFonts w:ascii="Garamond" w:hAnsi="Garamond"/>
          <w:b/>
          <w:bCs/>
          <w:sz w:val="25"/>
          <w:szCs w:val="25"/>
        </w:rPr>
        <w:t xml:space="preserve">, </w:t>
      </w:r>
      <w:r w:rsidRPr="005217BE">
        <w:rPr>
          <w:rFonts w:ascii="Garamond" w:hAnsi="Garamond"/>
          <w:sz w:val="25"/>
          <w:szCs w:val="25"/>
        </w:rPr>
        <w:t xml:space="preserve">University of Bristol: </w:t>
      </w:r>
      <w:r w:rsidR="000E577A" w:rsidRPr="005217BE">
        <w:rPr>
          <w:rFonts w:ascii="Garamond" w:hAnsi="Garamond"/>
          <w:sz w:val="25"/>
          <w:szCs w:val="25"/>
        </w:rPr>
        <w:t>“</w:t>
      </w:r>
      <w:r w:rsidRPr="005217BE">
        <w:rPr>
          <w:rFonts w:ascii="Garamond" w:hAnsi="Garamond"/>
          <w:sz w:val="25"/>
          <w:szCs w:val="25"/>
        </w:rPr>
        <w:t>Evidence that Demands a Verdict and the Verdict that Demands Freedom: Prince Lourenço da Silva Mendonça and the Black Atlantic Abolitionists’ Case in Rome and the Vatican Response for Universal Justice, 1684-1686</w:t>
      </w:r>
      <w:r w:rsidR="000E577A" w:rsidRPr="005217BE">
        <w:rPr>
          <w:rFonts w:ascii="Garamond" w:hAnsi="Garamond"/>
          <w:sz w:val="25"/>
          <w:szCs w:val="25"/>
        </w:rPr>
        <w:t>”</w:t>
      </w:r>
    </w:p>
    <w:p w14:paraId="1AF050DE" w14:textId="4E76A0E3" w:rsidR="006F3282" w:rsidRPr="005217BE" w:rsidRDefault="006F3282" w:rsidP="00523E13">
      <w:pPr>
        <w:rPr>
          <w:rFonts w:ascii="Garamond" w:hAnsi="Garamond"/>
          <w:i/>
          <w:iCs/>
          <w:sz w:val="25"/>
          <w:szCs w:val="25"/>
        </w:rPr>
      </w:pPr>
      <w:r w:rsidRPr="005217BE">
        <w:rPr>
          <w:rFonts w:ascii="Garamond" w:hAnsi="Garamond"/>
          <w:b/>
          <w:bCs/>
          <w:sz w:val="25"/>
          <w:szCs w:val="25"/>
        </w:rPr>
        <w:t>Selina Patel Nascimento</w:t>
      </w:r>
      <w:r w:rsidRPr="005217BE">
        <w:rPr>
          <w:rFonts w:ascii="Garamond" w:hAnsi="Garamond"/>
          <w:sz w:val="25"/>
          <w:szCs w:val="25"/>
        </w:rPr>
        <w:t xml:space="preserve">, </w:t>
      </w:r>
      <w:r w:rsidR="005217BE" w:rsidRPr="005217BE">
        <w:rPr>
          <w:rFonts w:ascii="Garamond" w:hAnsi="Garamond"/>
          <w:sz w:val="25"/>
          <w:szCs w:val="25"/>
        </w:rPr>
        <w:t xml:space="preserve">University of </w:t>
      </w:r>
      <w:r w:rsidRPr="005217BE">
        <w:rPr>
          <w:rFonts w:ascii="Garamond" w:hAnsi="Garamond"/>
          <w:sz w:val="25"/>
          <w:szCs w:val="25"/>
        </w:rPr>
        <w:t xml:space="preserve">Lancaster: </w:t>
      </w:r>
      <w:r w:rsidR="00523E13" w:rsidRPr="005217BE">
        <w:rPr>
          <w:rFonts w:ascii="Garamond" w:hAnsi="Garamond"/>
          <w:sz w:val="25"/>
          <w:szCs w:val="25"/>
        </w:rPr>
        <w:t>“</w:t>
      </w:r>
      <w:r w:rsidRPr="005217BE">
        <w:rPr>
          <w:rFonts w:ascii="Garamond" w:hAnsi="Garamond"/>
          <w:sz w:val="25"/>
          <w:szCs w:val="25"/>
        </w:rPr>
        <w:t>Space Invaders? Slavery, Gender and the Remapping of Eighteenth-Century Portuguese Imperial Geographies</w:t>
      </w:r>
      <w:r w:rsidR="00523E13" w:rsidRPr="005217BE">
        <w:rPr>
          <w:rFonts w:ascii="Garamond" w:hAnsi="Garamond"/>
          <w:sz w:val="25"/>
          <w:szCs w:val="25"/>
        </w:rPr>
        <w:t>”</w:t>
      </w:r>
    </w:p>
    <w:p w14:paraId="329096C9" w14:textId="4B3582E5" w:rsidR="006F3282" w:rsidRPr="005217BE" w:rsidRDefault="006F3282" w:rsidP="00523E13">
      <w:pPr>
        <w:rPr>
          <w:rFonts w:ascii="Garamond" w:hAnsi="Garamond"/>
          <w:i/>
          <w:iCs/>
          <w:sz w:val="25"/>
          <w:szCs w:val="25"/>
        </w:rPr>
      </w:pPr>
      <w:r w:rsidRPr="005217BE">
        <w:rPr>
          <w:rFonts w:ascii="Garamond" w:hAnsi="Garamond"/>
          <w:b/>
          <w:bCs/>
          <w:sz w:val="25"/>
          <w:szCs w:val="25"/>
        </w:rPr>
        <w:t>Bethan Fisk</w:t>
      </w:r>
      <w:r w:rsidRPr="005217BE">
        <w:rPr>
          <w:rFonts w:ascii="Garamond" w:hAnsi="Garamond"/>
          <w:sz w:val="25"/>
          <w:szCs w:val="25"/>
        </w:rPr>
        <w:t xml:space="preserve">, Department of Hispanic Studies, University of Bristol: </w:t>
      </w:r>
      <w:r w:rsidR="00523E13" w:rsidRPr="005217BE">
        <w:rPr>
          <w:rFonts w:ascii="Garamond" w:hAnsi="Garamond"/>
          <w:sz w:val="25"/>
          <w:szCs w:val="25"/>
        </w:rPr>
        <w:t>“</w:t>
      </w:r>
      <w:r w:rsidRPr="005217BE">
        <w:rPr>
          <w:rFonts w:ascii="Garamond" w:hAnsi="Garamond"/>
          <w:sz w:val="25"/>
          <w:szCs w:val="25"/>
        </w:rPr>
        <w:t>In the Interstices: Religious Geographies of Eighteenth-Century Afro-Colombia</w:t>
      </w:r>
      <w:r w:rsidR="00523E13" w:rsidRPr="005217BE">
        <w:rPr>
          <w:rFonts w:ascii="Garamond" w:hAnsi="Garamond"/>
          <w:sz w:val="25"/>
          <w:szCs w:val="25"/>
        </w:rPr>
        <w:t>”</w:t>
      </w:r>
    </w:p>
    <w:p w14:paraId="60486393" w14:textId="704F324C" w:rsidR="00092AD5" w:rsidRPr="005217BE" w:rsidRDefault="005217BE" w:rsidP="00523E13">
      <w:pPr>
        <w:rPr>
          <w:rFonts w:ascii="Garamond" w:hAnsi="Garamond"/>
          <w:i/>
          <w:iCs/>
          <w:sz w:val="25"/>
          <w:szCs w:val="25"/>
        </w:rPr>
      </w:pPr>
      <w:r w:rsidRPr="005217BE">
        <w:rPr>
          <w:rFonts w:ascii="Garamond" w:hAnsi="Garamond"/>
          <w:b/>
          <w:bCs/>
          <w:sz w:val="25"/>
          <w:szCs w:val="25"/>
        </w:rPr>
        <w:t xml:space="preserve">Oscar de la Torre, </w:t>
      </w:r>
      <w:r w:rsidRPr="005217BE">
        <w:rPr>
          <w:rFonts w:ascii="Garamond" w:hAnsi="Garamond"/>
          <w:sz w:val="25"/>
          <w:szCs w:val="25"/>
        </w:rPr>
        <w:t xml:space="preserve">UNC Charlotte, US: </w:t>
      </w:r>
      <w:r>
        <w:rPr>
          <w:rFonts w:ascii="Garamond" w:hAnsi="Garamond"/>
          <w:sz w:val="25"/>
          <w:szCs w:val="25"/>
        </w:rPr>
        <w:t xml:space="preserve">“Secluding and </w:t>
      </w:r>
      <w:r w:rsidR="00092AD5" w:rsidRPr="005217BE">
        <w:rPr>
          <w:rFonts w:ascii="Garamond" w:hAnsi="Garamond"/>
          <w:sz w:val="25"/>
          <w:szCs w:val="25"/>
        </w:rPr>
        <w:t>Exhibiting: The Double Inscription of Planter Power in the Urban Space of Matanzas, Cuba 1818-1886</w:t>
      </w:r>
      <w:r w:rsidR="00523E13" w:rsidRPr="005217BE">
        <w:rPr>
          <w:rFonts w:ascii="Garamond" w:hAnsi="Garamond"/>
          <w:sz w:val="25"/>
          <w:szCs w:val="25"/>
        </w:rPr>
        <w:t>”</w:t>
      </w:r>
    </w:p>
    <w:p w14:paraId="5420E521" w14:textId="5A7627B5" w:rsidR="00092AD5" w:rsidRDefault="00092AD5" w:rsidP="00523E13">
      <w:pPr>
        <w:rPr>
          <w:rFonts w:ascii="Garamond" w:hAnsi="Garamond"/>
          <w:sz w:val="25"/>
          <w:szCs w:val="25"/>
        </w:rPr>
      </w:pPr>
      <w:r w:rsidRPr="005217BE">
        <w:rPr>
          <w:rFonts w:ascii="Garamond" w:hAnsi="Garamond"/>
          <w:b/>
          <w:bCs/>
          <w:sz w:val="25"/>
          <w:szCs w:val="25"/>
        </w:rPr>
        <w:t>Camillia Cowling</w:t>
      </w:r>
      <w:r w:rsidRPr="005217BE">
        <w:rPr>
          <w:rFonts w:ascii="Garamond" w:hAnsi="Garamond"/>
          <w:sz w:val="25"/>
          <w:szCs w:val="25"/>
        </w:rPr>
        <w:t>,</w:t>
      </w:r>
      <w:r w:rsidR="00523E13" w:rsidRPr="005217BE">
        <w:rPr>
          <w:rFonts w:ascii="Garamond" w:hAnsi="Garamond"/>
          <w:sz w:val="25"/>
          <w:szCs w:val="25"/>
        </w:rPr>
        <w:t xml:space="preserve"> Department of History, University of Warwick:</w:t>
      </w:r>
      <w:r w:rsidRPr="005217BE">
        <w:rPr>
          <w:rFonts w:ascii="Garamond" w:hAnsi="Garamond"/>
          <w:sz w:val="25"/>
          <w:szCs w:val="25"/>
        </w:rPr>
        <w:t xml:space="preserve"> </w:t>
      </w:r>
      <w:r w:rsidR="00523E13" w:rsidRPr="005217BE">
        <w:rPr>
          <w:rFonts w:ascii="Garamond" w:hAnsi="Garamond"/>
          <w:sz w:val="25"/>
          <w:szCs w:val="25"/>
        </w:rPr>
        <w:t>“</w:t>
      </w:r>
      <w:proofErr w:type="spellStart"/>
      <w:r w:rsidRPr="005217BE">
        <w:rPr>
          <w:rFonts w:ascii="Garamond" w:hAnsi="Garamond"/>
          <w:i/>
          <w:iCs/>
          <w:sz w:val="25"/>
          <w:szCs w:val="25"/>
        </w:rPr>
        <w:t>Captura</w:t>
      </w:r>
      <w:proofErr w:type="spellEnd"/>
      <w:r w:rsidRPr="005217BE">
        <w:rPr>
          <w:rFonts w:ascii="Garamond" w:hAnsi="Garamond"/>
          <w:sz w:val="25"/>
          <w:szCs w:val="25"/>
        </w:rPr>
        <w:t>: Policing and Defining Enslaved Movements in Mid-Nineteenth-Century Cuba</w:t>
      </w:r>
      <w:r w:rsidR="00523E13" w:rsidRPr="005217BE">
        <w:rPr>
          <w:rFonts w:ascii="Garamond" w:hAnsi="Garamond"/>
          <w:sz w:val="25"/>
          <w:szCs w:val="25"/>
        </w:rPr>
        <w:t>”</w:t>
      </w:r>
    </w:p>
    <w:p w14:paraId="1E6F2E90" w14:textId="77777777" w:rsidR="000116B3" w:rsidRDefault="00227FB6" w:rsidP="00227FB6">
      <w:pPr>
        <w:rPr>
          <w:rFonts w:ascii="Garamond" w:hAnsi="Garamond"/>
          <w:b/>
          <w:bCs/>
          <w:sz w:val="25"/>
          <w:szCs w:val="25"/>
        </w:rPr>
      </w:pPr>
      <w:r>
        <w:rPr>
          <w:rFonts w:ascii="Garamond" w:hAnsi="Garamond"/>
          <w:b/>
          <w:bCs/>
          <w:sz w:val="25"/>
          <w:szCs w:val="25"/>
        </w:rPr>
        <w:t>Roundtable: Teaching person-centred histories of slavery in schools and universities:</w:t>
      </w:r>
    </w:p>
    <w:p w14:paraId="26305267" w14:textId="7600F977" w:rsidR="00227FB6" w:rsidRPr="000116B3" w:rsidRDefault="00227FB6" w:rsidP="000116B3">
      <w:pPr>
        <w:rPr>
          <w:rFonts w:ascii="Garamond" w:hAnsi="Garamond"/>
          <w:b/>
          <w:bCs/>
          <w:sz w:val="25"/>
          <w:szCs w:val="25"/>
        </w:rPr>
      </w:pPr>
      <w:r w:rsidRPr="00227FB6">
        <w:rPr>
          <w:rFonts w:ascii="Garamond" w:hAnsi="Garamond"/>
          <w:b/>
          <w:bCs/>
          <w:sz w:val="25"/>
          <w:szCs w:val="25"/>
        </w:rPr>
        <w:t>Rosie Doyle</w:t>
      </w:r>
      <w:r w:rsidRPr="00227FB6">
        <w:rPr>
          <w:rFonts w:ascii="Garamond" w:hAnsi="Garamond"/>
          <w:sz w:val="25"/>
          <w:szCs w:val="25"/>
        </w:rPr>
        <w:t xml:space="preserve">, Department of History, University of Warwick; </w:t>
      </w:r>
      <w:r w:rsidRPr="00227FB6">
        <w:rPr>
          <w:rFonts w:ascii="Garamond" w:hAnsi="Garamond"/>
          <w:b/>
          <w:bCs/>
          <w:sz w:val="25"/>
          <w:szCs w:val="25"/>
        </w:rPr>
        <w:t>Bethan Fisk</w:t>
      </w:r>
      <w:r w:rsidRPr="00227FB6">
        <w:rPr>
          <w:rFonts w:ascii="Garamond" w:hAnsi="Garamond"/>
          <w:sz w:val="25"/>
          <w:szCs w:val="25"/>
        </w:rPr>
        <w:t xml:space="preserve">, Department of Hispanic, Portuguese &amp; Latin American Studies, University of Bristol; </w:t>
      </w:r>
      <w:r w:rsidRPr="00227FB6">
        <w:rPr>
          <w:rFonts w:ascii="Garamond" w:hAnsi="Garamond"/>
          <w:b/>
          <w:bCs/>
          <w:sz w:val="25"/>
          <w:szCs w:val="25"/>
        </w:rPr>
        <w:t xml:space="preserve">José Lingna </w:t>
      </w:r>
      <w:proofErr w:type="spellStart"/>
      <w:r w:rsidRPr="00227FB6">
        <w:rPr>
          <w:rFonts w:ascii="Garamond" w:hAnsi="Garamond"/>
          <w:b/>
          <w:bCs/>
          <w:sz w:val="25"/>
          <w:szCs w:val="25"/>
        </w:rPr>
        <w:t>Nafafé</w:t>
      </w:r>
      <w:proofErr w:type="spellEnd"/>
      <w:r w:rsidRPr="00227FB6">
        <w:rPr>
          <w:rFonts w:ascii="Garamond" w:hAnsi="Garamond"/>
          <w:b/>
          <w:bCs/>
          <w:sz w:val="25"/>
          <w:szCs w:val="25"/>
        </w:rPr>
        <w:t xml:space="preserve">, </w:t>
      </w:r>
      <w:r w:rsidRPr="00227FB6">
        <w:rPr>
          <w:rFonts w:ascii="Garamond" w:hAnsi="Garamond"/>
          <w:sz w:val="25"/>
          <w:szCs w:val="25"/>
        </w:rPr>
        <w:t xml:space="preserve">Department of Hispanic, Portuguese &amp; Latin American Studies, University of Bristol; </w:t>
      </w:r>
      <w:r w:rsidRPr="00227FB6">
        <w:rPr>
          <w:rFonts w:ascii="Garamond" w:hAnsi="Garamond"/>
          <w:b/>
          <w:bCs/>
          <w:sz w:val="25"/>
          <w:szCs w:val="25"/>
        </w:rPr>
        <w:t>Simon Peplow</w:t>
      </w:r>
      <w:r w:rsidRPr="00227FB6">
        <w:rPr>
          <w:rFonts w:ascii="Garamond" w:hAnsi="Garamond"/>
          <w:sz w:val="25"/>
          <w:szCs w:val="25"/>
        </w:rPr>
        <w:t>, Department of History, University of Warwick;</w:t>
      </w:r>
      <w:r w:rsidRPr="00227FB6">
        <w:rPr>
          <w:rFonts w:ascii="Garamond" w:hAnsi="Garamond"/>
          <w:b/>
          <w:bCs/>
          <w:sz w:val="25"/>
          <w:szCs w:val="25"/>
        </w:rPr>
        <w:t xml:space="preserve"> David Rawlings</w:t>
      </w:r>
      <w:r w:rsidRPr="00227FB6">
        <w:rPr>
          <w:rFonts w:ascii="Garamond" w:hAnsi="Garamond"/>
          <w:sz w:val="25"/>
          <w:szCs w:val="25"/>
        </w:rPr>
        <w:t>, School of Education, University of Bristol</w:t>
      </w:r>
    </w:p>
    <w:p w14:paraId="07C3D566" w14:textId="651C01F0" w:rsidR="00004A75" w:rsidRPr="00227FB6" w:rsidRDefault="00227FB6" w:rsidP="00004A75">
      <w:pPr>
        <w:rPr>
          <w:rFonts w:ascii="Garamond" w:hAnsi="Garamond"/>
          <w:sz w:val="25"/>
          <w:szCs w:val="25"/>
        </w:rPr>
      </w:pPr>
      <w:r w:rsidRPr="00523E13">
        <w:rPr>
          <w:rFonts w:ascii="Garamond" w:hAnsi="Garamond"/>
          <w:noProof/>
        </w:rPr>
        <w:drawing>
          <wp:anchor distT="0" distB="0" distL="114300" distR="114300" simplePos="0" relativeHeight="251665408" behindDoc="0" locked="0" layoutInCell="1" allowOverlap="1" wp14:anchorId="510A42F8" wp14:editId="2A5A062F">
            <wp:simplePos x="0" y="0"/>
            <wp:positionH relativeFrom="margin">
              <wp:align>center</wp:align>
            </wp:positionH>
            <wp:positionV relativeFrom="paragraph">
              <wp:posOffset>5715</wp:posOffset>
            </wp:positionV>
            <wp:extent cx="1583055" cy="632460"/>
            <wp:effectExtent l="0" t="0" r="0" b="0"/>
            <wp:wrapNone/>
            <wp:docPr id="524768311" name="Picture 1" descr="A blue sign with whit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4768311" name="Picture 1" descr="A blue sign with white text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055" cy="6324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04A75" w:rsidRPr="00227FB6" w:rsidSect="00861F15">
      <w:pgSz w:w="11906" w:h="16838"/>
      <w:pgMar w:top="1440" w:right="1133" w:bottom="144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4A75"/>
    <w:rsid w:val="00004A75"/>
    <w:rsid w:val="000116B3"/>
    <w:rsid w:val="00070B63"/>
    <w:rsid w:val="00074966"/>
    <w:rsid w:val="00092AD5"/>
    <w:rsid w:val="000C607E"/>
    <w:rsid w:val="000E577A"/>
    <w:rsid w:val="000F7162"/>
    <w:rsid w:val="00157BDD"/>
    <w:rsid w:val="00227FB6"/>
    <w:rsid w:val="002615BD"/>
    <w:rsid w:val="00272F5D"/>
    <w:rsid w:val="003532C8"/>
    <w:rsid w:val="003B3F46"/>
    <w:rsid w:val="00457C75"/>
    <w:rsid w:val="004975C5"/>
    <w:rsid w:val="004F4E45"/>
    <w:rsid w:val="005217BE"/>
    <w:rsid w:val="00523E13"/>
    <w:rsid w:val="006635E6"/>
    <w:rsid w:val="00697287"/>
    <w:rsid w:val="006D3BAE"/>
    <w:rsid w:val="006E733D"/>
    <w:rsid w:val="006F3282"/>
    <w:rsid w:val="00767F0E"/>
    <w:rsid w:val="0085663B"/>
    <w:rsid w:val="00861F15"/>
    <w:rsid w:val="008F2673"/>
    <w:rsid w:val="00940631"/>
    <w:rsid w:val="009426F9"/>
    <w:rsid w:val="009F3F3D"/>
    <w:rsid w:val="00A15BCA"/>
    <w:rsid w:val="00B44236"/>
    <w:rsid w:val="00B52C51"/>
    <w:rsid w:val="00C75DED"/>
    <w:rsid w:val="00D663AB"/>
    <w:rsid w:val="00FA4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355F56"/>
  <w15:chartTrackingRefBased/>
  <w15:docId w15:val="{D64D8E0A-C8F4-4BDA-B330-EF6BDE88C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4A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4A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4A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4A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4A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4A7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4A7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4A7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4A7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4A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4A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4A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4A7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4A7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4A7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4A7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4A7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4A7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4A7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4A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4A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4A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4A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4A7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4A7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4A7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4A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4A7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4A75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004A75"/>
    <w:rPr>
      <w:b/>
      <w:bCs/>
    </w:rPr>
  </w:style>
  <w:style w:type="character" w:styleId="Emphasis">
    <w:name w:val="Emphasis"/>
    <w:basedOn w:val="DefaultParagraphFont"/>
    <w:uiPriority w:val="20"/>
    <w:qFormat/>
    <w:rsid w:val="00004A75"/>
    <w:rPr>
      <w:i/>
      <w:iCs/>
    </w:rPr>
  </w:style>
  <w:style w:type="table" w:styleId="TableGrid">
    <w:name w:val="Table Grid"/>
    <w:basedOn w:val="TableNormal"/>
    <w:uiPriority w:val="39"/>
    <w:rsid w:val="009426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523E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413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3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281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Evans, Amy</dc:creator>
  <cp:keywords/>
  <dc:description/>
  <cp:lastModifiedBy>camillia Cowling</cp:lastModifiedBy>
  <cp:revision>6</cp:revision>
  <dcterms:created xsi:type="dcterms:W3CDTF">2024-03-13T11:26:00Z</dcterms:created>
  <dcterms:modified xsi:type="dcterms:W3CDTF">2024-03-13T12:46:00Z</dcterms:modified>
</cp:coreProperties>
</file>