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E23046" w14:textId="2B29FE2A" w:rsidR="000259D8" w:rsidRPr="00EE5D91" w:rsidRDefault="00D10DE6">
      <w:pPr>
        <w:rPr>
          <w:rFonts w:cstheme="minorHAnsi"/>
          <w:sz w:val="24"/>
          <w:szCs w:val="24"/>
        </w:rPr>
      </w:pPr>
      <w:r w:rsidRPr="00EE5D91">
        <w:rPr>
          <w:rFonts w:cstheme="minorHAnsi"/>
          <w:sz w:val="24"/>
          <w:szCs w:val="24"/>
        </w:rPr>
        <w:t>10.  To what extent is Global History an inherently western concept?</w:t>
      </w:r>
    </w:p>
    <w:p w14:paraId="050860D6" w14:textId="6A5BC1EB" w:rsidR="00D10DE6" w:rsidRPr="00EE5D91" w:rsidRDefault="00D10DE6">
      <w:pPr>
        <w:rPr>
          <w:rFonts w:cstheme="minorHAnsi"/>
          <w:sz w:val="24"/>
          <w:szCs w:val="24"/>
        </w:rPr>
      </w:pPr>
      <w:r w:rsidRPr="00EE5D91">
        <w:rPr>
          <w:rFonts w:cstheme="minorHAnsi"/>
          <w:sz w:val="24"/>
          <w:szCs w:val="24"/>
        </w:rPr>
        <w:t>Global history emerged in the late 1990s as a challenge to ‘methodological nationalism’ in historical writing.  Why other aims did it have?  Who were its key proponents, and were there ‘national difference’ in the way the concept and field were perceived?  After this long period of living with a field where the concept ‘global’ has become ubiquitous across many historical fields what do you think its problems are and where does it future lie?  To what extent was this a concept of the West? What ways might we find to avoid this accusation, and can we resolve this.  This is an issue of historical writing and historiography.  What side are you on?</w:t>
      </w:r>
    </w:p>
    <w:p w14:paraId="3E281049" w14:textId="2A5D67A6" w:rsidR="00D10DE6" w:rsidRPr="00EE5D91" w:rsidRDefault="00D10DE6">
      <w:pPr>
        <w:rPr>
          <w:rFonts w:cstheme="minorHAnsi"/>
          <w:i/>
          <w:iCs/>
          <w:sz w:val="24"/>
          <w:szCs w:val="24"/>
        </w:rPr>
      </w:pPr>
      <w:r w:rsidRPr="00EE5D91">
        <w:rPr>
          <w:rFonts w:cstheme="minorHAnsi"/>
          <w:i/>
          <w:iCs/>
          <w:sz w:val="24"/>
          <w:szCs w:val="24"/>
        </w:rPr>
        <w:t>Key Reading:</w:t>
      </w:r>
    </w:p>
    <w:p w14:paraId="5A93B8CC" w14:textId="2FF26642" w:rsidR="00D10DE6" w:rsidRPr="00EE5D91" w:rsidRDefault="00D10DE6">
      <w:pPr>
        <w:rPr>
          <w:rFonts w:cstheme="minorHAnsi"/>
          <w:i/>
          <w:iCs/>
          <w:sz w:val="24"/>
          <w:szCs w:val="24"/>
        </w:rPr>
      </w:pPr>
      <w:r w:rsidRPr="00EE5D91">
        <w:rPr>
          <w:rFonts w:cstheme="minorHAnsi"/>
          <w:sz w:val="24"/>
          <w:szCs w:val="24"/>
        </w:rPr>
        <w:t xml:space="preserve">Dipesh Chakrabarty, </w:t>
      </w:r>
      <w:proofErr w:type="spellStart"/>
      <w:r w:rsidRPr="00EE5D91">
        <w:rPr>
          <w:rFonts w:cstheme="minorHAnsi"/>
          <w:i/>
          <w:iCs/>
          <w:sz w:val="24"/>
          <w:szCs w:val="24"/>
        </w:rPr>
        <w:t>Provincialising</w:t>
      </w:r>
      <w:proofErr w:type="spellEnd"/>
      <w:r w:rsidRPr="00EE5D91">
        <w:rPr>
          <w:rFonts w:cstheme="minorHAnsi"/>
          <w:i/>
          <w:iCs/>
          <w:sz w:val="24"/>
          <w:szCs w:val="24"/>
        </w:rPr>
        <w:t xml:space="preserve"> Europe</w:t>
      </w:r>
      <w:r w:rsidRPr="00EE5D91">
        <w:rPr>
          <w:rFonts w:cstheme="minorHAnsi"/>
          <w:sz w:val="24"/>
          <w:szCs w:val="24"/>
        </w:rPr>
        <w:t xml:space="preserve"> (new edition 2009), Preface, Introduction and Chap.4</w:t>
      </w:r>
    </w:p>
    <w:p w14:paraId="331AFE85" w14:textId="0834166A" w:rsidR="00D10DE6" w:rsidRPr="00EE5D91" w:rsidRDefault="00D10DE6">
      <w:pPr>
        <w:rPr>
          <w:rFonts w:cstheme="minorHAnsi"/>
          <w:sz w:val="24"/>
          <w:szCs w:val="24"/>
        </w:rPr>
      </w:pPr>
      <w:r w:rsidRPr="00EE5D91">
        <w:rPr>
          <w:rFonts w:cstheme="minorHAnsi"/>
          <w:sz w:val="24"/>
          <w:szCs w:val="24"/>
        </w:rPr>
        <w:object w:dxaOrig="1537" w:dyaOrig="994" w14:anchorId="41A42A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4" o:title=""/>
          </v:shape>
          <o:OLEObject Type="Embed" ProgID="Acrobat.Document.DC" ShapeID="_x0000_i1025" DrawAspect="Icon" ObjectID="_1693744073" r:id="rId5"/>
        </w:object>
      </w:r>
    </w:p>
    <w:p w14:paraId="514C84D9" w14:textId="4DB53603" w:rsidR="00D10DE6" w:rsidRPr="00EE5D91" w:rsidRDefault="00D10DE6">
      <w:pPr>
        <w:rPr>
          <w:rFonts w:cstheme="minorHAnsi"/>
          <w:sz w:val="24"/>
          <w:szCs w:val="24"/>
        </w:rPr>
      </w:pPr>
      <w:r w:rsidRPr="00EE5D91">
        <w:rPr>
          <w:rFonts w:cstheme="minorHAnsi"/>
          <w:sz w:val="24"/>
          <w:szCs w:val="24"/>
        </w:rPr>
        <w:object w:dxaOrig="1537" w:dyaOrig="994" w14:anchorId="3D7E36FF">
          <v:shape id="_x0000_i1027" type="#_x0000_t75" style="width:76.5pt;height:49.5pt" o:ole="">
            <v:imagedata r:id="rId6" o:title=""/>
          </v:shape>
          <o:OLEObject Type="Embed" ProgID="Acrobat.Document.DC" ShapeID="_x0000_i1027" DrawAspect="Icon" ObjectID="_1693744074" r:id="rId7"/>
        </w:object>
      </w:r>
    </w:p>
    <w:p w14:paraId="3BE600CF" w14:textId="50A28AE9" w:rsidR="00D10DE6" w:rsidRPr="00EE5D91" w:rsidRDefault="00D10DE6">
      <w:pPr>
        <w:rPr>
          <w:rFonts w:cstheme="minorHAnsi"/>
          <w:sz w:val="24"/>
          <w:szCs w:val="24"/>
        </w:rPr>
      </w:pPr>
      <w:r w:rsidRPr="00EE5D91">
        <w:rPr>
          <w:rFonts w:cstheme="minorHAnsi"/>
          <w:sz w:val="24"/>
          <w:szCs w:val="24"/>
        </w:rPr>
        <w:object w:dxaOrig="1537" w:dyaOrig="994" w14:anchorId="7778B1C8">
          <v:shape id="_x0000_i1029" type="#_x0000_t75" style="width:76.5pt;height:49.5pt" o:ole="">
            <v:imagedata r:id="rId8" o:title=""/>
          </v:shape>
          <o:OLEObject Type="Embed" ProgID="Acrobat.Document.DC" ShapeID="_x0000_i1029" DrawAspect="Icon" ObjectID="_1693744075" r:id="rId9"/>
        </w:object>
      </w:r>
    </w:p>
    <w:p w14:paraId="7AA6854F" w14:textId="77777777" w:rsidR="00D10DE6" w:rsidRPr="00EE5D91" w:rsidRDefault="00D10DE6" w:rsidP="00D10DE6">
      <w:pPr>
        <w:rPr>
          <w:rFonts w:cstheme="minorHAnsi"/>
          <w:sz w:val="24"/>
          <w:szCs w:val="24"/>
        </w:rPr>
      </w:pPr>
      <w:proofErr w:type="spellStart"/>
      <w:r w:rsidRPr="00EE5D91">
        <w:rPr>
          <w:rFonts w:cstheme="minorHAnsi"/>
          <w:sz w:val="24"/>
          <w:szCs w:val="24"/>
        </w:rPr>
        <w:t>Sachsenmaier</w:t>
      </w:r>
      <w:proofErr w:type="spellEnd"/>
      <w:r w:rsidRPr="00EE5D91">
        <w:rPr>
          <w:rFonts w:cstheme="minorHAnsi"/>
          <w:sz w:val="24"/>
          <w:szCs w:val="24"/>
        </w:rPr>
        <w:t xml:space="preserve">, Dominic. “Global History and Critiques of Western Perspectives.” </w:t>
      </w:r>
      <w:r w:rsidRPr="00EE5D91">
        <w:rPr>
          <w:rFonts w:cstheme="minorHAnsi"/>
          <w:i/>
          <w:iCs/>
          <w:sz w:val="24"/>
          <w:szCs w:val="24"/>
        </w:rPr>
        <w:t>Comparative Education</w:t>
      </w:r>
      <w:r w:rsidRPr="00EE5D91">
        <w:rPr>
          <w:rFonts w:cstheme="minorHAnsi"/>
          <w:sz w:val="24"/>
          <w:szCs w:val="24"/>
        </w:rPr>
        <w:t xml:space="preserve">, vol. 42, no. 3, Taylor &amp; Francis, Ltd., 2006, pp. 451–70, </w:t>
      </w:r>
      <w:hyperlink r:id="rId10" w:history="1">
        <w:r w:rsidRPr="00EE5D91">
          <w:rPr>
            <w:rStyle w:val="Hyperlink"/>
            <w:rFonts w:cstheme="minorHAnsi"/>
            <w:sz w:val="24"/>
            <w:szCs w:val="24"/>
          </w:rPr>
          <w:t>http://www.jstor.org/stable/29727795</w:t>
        </w:r>
      </w:hyperlink>
    </w:p>
    <w:p w14:paraId="06B7DE18" w14:textId="4584AC37" w:rsidR="00D10DE6" w:rsidRPr="00EE5D91" w:rsidRDefault="00EE5D91">
      <w:pPr>
        <w:rPr>
          <w:rFonts w:cstheme="minorHAnsi"/>
          <w:sz w:val="24"/>
          <w:szCs w:val="24"/>
        </w:rPr>
      </w:pPr>
      <w:r w:rsidRPr="00EE5D91">
        <w:rPr>
          <w:rFonts w:cstheme="minorHAnsi"/>
          <w:color w:val="383838"/>
          <w:sz w:val="24"/>
          <w:szCs w:val="24"/>
          <w:shd w:val="clear" w:color="auto" w:fill="FFFFFF"/>
        </w:rPr>
        <w:t>Jeremy Adelman ‘What is Global History Now?' </w:t>
      </w:r>
      <w:hyperlink r:id="rId11" w:history="1">
        <w:r w:rsidRPr="00EE5D91">
          <w:rPr>
            <w:rStyle w:val="Hyperlink"/>
            <w:rFonts w:cstheme="minorHAnsi"/>
            <w:color w:val="393A3B"/>
            <w:sz w:val="24"/>
            <w:szCs w:val="24"/>
            <w:shd w:val="clear" w:color="auto" w:fill="FFFFFF"/>
          </w:rPr>
          <w:t>https://aeon.co/essays/is-global-history-still-possible-or-has-it-had-its-moment</w:t>
        </w:r>
      </w:hyperlink>
    </w:p>
    <w:p w14:paraId="276C1419" w14:textId="77777777" w:rsidR="00EE5D91" w:rsidRPr="00EE5D91" w:rsidRDefault="00EE5D91" w:rsidP="00EE5D91">
      <w:pPr>
        <w:pStyle w:val="FootnoteText"/>
        <w:rPr>
          <w:rFonts w:cstheme="minorHAnsi"/>
          <w:sz w:val="24"/>
          <w:szCs w:val="24"/>
        </w:rPr>
      </w:pPr>
      <w:r w:rsidRPr="00EE5D91">
        <w:rPr>
          <w:rFonts w:cstheme="minorHAnsi"/>
          <w:sz w:val="24"/>
          <w:szCs w:val="24"/>
        </w:rPr>
        <w:t xml:space="preserve">Francesca Trivellato, “Is there a Future for Italian Microhistory in the Age of Global History?,” </w:t>
      </w:r>
      <w:r w:rsidRPr="00EE5D91">
        <w:rPr>
          <w:rFonts w:cstheme="minorHAnsi"/>
          <w:i/>
          <w:iCs/>
          <w:sz w:val="24"/>
          <w:szCs w:val="24"/>
        </w:rPr>
        <w:t>California Italian Studies</w:t>
      </w:r>
      <w:r w:rsidRPr="00EE5D91">
        <w:rPr>
          <w:rFonts w:cstheme="minorHAnsi"/>
          <w:sz w:val="24"/>
          <w:szCs w:val="24"/>
        </w:rPr>
        <w:t xml:space="preserve"> 2 (1) (2011)</w:t>
      </w:r>
      <w:r w:rsidRPr="00EE5D91">
        <w:rPr>
          <w:rFonts w:cstheme="minorHAnsi"/>
          <w:i/>
          <w:iCs/>
          <w:sz w:val="24"/>
          <w:szCs w:val="24"/>
        </w:rPr>
        <w:t xml:space="preserve">, </w:t>
      </w:r>
      <w:hyperlink r:id="rId12" w:history="1">
        <w:r w:rsidRPr="00EE5D91">
          <w:rPr>
            <w:rStyle w:val="Hyperlink"/>
            <w:rFonts w:cstheme="minorHAnsi"/>
            <w:i/>
            <w:iCs/>
            <w:sz w:val="24"/>
            <w:szCs w:val="24"/>
          </w:rPr>
          <w:t>https://escholarship.org/uc/item/0z94n9hq</w:t>
        </w:r>
      </w:hyperlink>
      <w:r w:rsidRPr="00EE5D91">
        <w:rPr>
          <w:rFonts w:cstheme="minorHAnsi"/>
          <w:i/>
          <w:iCs/>
          <w:sz w:val="24"/>
          <w:szCs w:val="24"/>
        </w:rPr>
        <w:t xml:space="preserve"> </w:t>
      </w:r>
      <w:r w:rsidRPr="00EE5D91">
        <w:rPr>
          <w:rFonts w:cstheme="minorHAnsi"/>
          <w:sz w:val="24"/>
          <w:szCs w:val="24"/>
        </w:rPr>
        <w:t>(accessed 2nd April 2021).</w:t>
      </w:r>
    </w:p>
    <w:p w14:paraId="3F21E9C1" w14:textId="77777777" w:rsidR="00EE5D91" w:rsidRDefault="00EE5D91">
      <w:pPr>
        <w:rPr>
          <w:rFonts w:cstheme="minorHAnsi"/>
          <w:sz w:val="24"/>
          <w:szCs w:val="24"/>
        </w:rPr>
      </w:pPr>
    </w:p>
    <w:p w14:paraId="51B62DF1" w14:textId="5A6A67EE" w:rsidR="00EE5D91" w:rsidRPr="00EE5D91" w:rsidRDefault="00EE5D91">
      <w:pPr>
        <w:rPr>
          <w:rFonts w:cstheme="minorHAnsi"/>
          <w:sz w:val="24"/>
          <w:szCs w:val="24"/>
        </w:rPr>
      </w:pPr>
      <w:r w:rsidRPr="00EE5D91">
        <w:rPr>
          <w:rFonts w:cstheme="minorHAnsi"/>
          <w:sz w:val="24"/>
          <w:szCs w:val="24"/>
        </w:rPr>
        <w:t xml:space="preserve">David Bell, “Questioning the Global Turn: The Case of the French Revolution,” </w:t>
      </w:r>
      <w:r w:rsidRPr="00EE5D91">
        <w:rPr>
          <w:rFonts w:cstheme="minorHAnsi"/>
          <w:i/>
          <w:iCs/>
          <w:sz w:val="24"/>
          <w:szCs w:val="24"/>
        </w:rPr>
        <w:t>French Historical Studies</w:t>
      </w:r>
      <w:r w:rsidRPr="00EE5D91">
        <w:rPr>
          <w:rFonts w:cstheme="minorHAnsi"/>
          <w:sz w:val="24"/>
          <w:szCs w:val="24"/>
        </w:rPr>
        <w:t>, 37 (2014): 1-21.</w:t>
      </w:r>
    </w:p>
    <w:p w14:paraId="30C66941" w14:textId="55156A23" w:rsidR="00EE5D91" w:rsidRPr="00EE5D91" w:rsidRDefault="00EE5D91">
      <w:pPr>
        <w:rPr>
          <w:rFonts w:cstheme="minorHAnsi"/>
          <w:sz w:val="24"/>
          <w:szCs w:val="24"/>
        </w:rPr>
      </w:pPr>
      <w:r w:rsidRPr="00EE5D91">
        <w:rPr>
          <w:rFonts w:cstheme="minorHAnsi"/>
          <w:sz w:val="24"/>
          <w:szCs w:val="24"/>
        </w:rPr>
        <w:t xml:space="preserve">Richard Drayton and David </w:t>
      </w:r>
      <w:proofErr w:type="spellStart"/>
      <w:r w:rsidRPr="00EE5D91">
        <w:rPr>
          <w:rFonts w:cstheme="minorHAnsi"/>
          <w:sz w:val="24"/>
          <w:szCs w:val="24"/>
        </w:rPr>
        <w:t>Motadel</w:t>
      </w:r>
      <w:proofErr w:type="spellEnd"/>
      <w:r w:rsidRPr="00EE5D91">
        <w:rPr>
          <w:rFonts w:cstheme="minorHAnsi"/>
          <w:sz w:val="24"/>
          <w:szCs w:val="24"/>
        </w:rPr>
        <w:t xml:space="preserve">, “Discussion: </w:t>
      </w:r>
      <w:proofErr w:type="gramStart"/>
      <w:r w:rsidRPr="00EE5D91">
        <w:rPr>
          <w:rFonts w:cstheme="minorHAnsi"/>
          <w:sz w:val="24"/>
          <w:szCs w:val="24"/>
        </w:rPr>
        <w:t>the</w:t>
      </w:r>
      <w:proofErr w:type="gramEnd"/>
      <w:r w:rsidRPr="00EE5D91">
        <w:rPr>
          <w:rFonts w:cstheme="minorHAnsi"/>
          <w:sz w:val="24"/>
          <w:szCs w:val="24"/>
        </w:rPr>
        <w:t xml:space="preserve"> Futures of Global History,” </w:t>
      </w:r>
      <w:r w:rsidRPr="00EE5D91">
        <w:rPr>
          <w:rFonts w:cstheme="minorHAnsi"/>
          <w:i/>
          <w:iCs/>
          <w:sz w:val="24"/>
          <w:szCs w:val="24"/>
        </w:rPr>
        <w:t>Journal of Global History</w:t>
      </w:r>
      <w:r w:rsidRPr="00EE5D91">
        <w:rPr>
          <w:rFonts w:cstheme="minorHAnsi"/>
          <w:sz w:val="24"/>
          <w:szCs w:val="24"/>
        </w:rPr>
        <w:t>, 13 (2018): 1-21; 17;</w:t>
      </w:r>
      <w:r w:rsidRPr="00EE5D91">
        <w:rPr>
          <w:rFonts w:cstheme="minorHAnsi"/>
          <w:sz w:val="24"/>
          <w:szCs w:val="24"/>
        </w:rPr>
        <w:t xml:space="preserve"> also see </w:t>
      </w:r>
      <w:r w:rsidRPr="00EE5D91">
        <w:rPr>
          <w:rFonts w:cstheme="minorHAnsi"/>
          <w:sz w:val="24"/>
          <w:szCs w:val="24"/>
        </w:rPr>
        <w:t>David Bell, “Words from David Bell,” in</w:t>
      </w:r>
      <w:r w:rsidRPr="00EE5D91">
        <w:rPr>
          <w:rFonts w:cstheme="minorHAnsi"/>
          <w:sz w:val="24"/>
          <w:szCs w:val="24"/>
        </w:rPr>
        <w:t xml:space="preserve"> same issue.</w:t>
      </w:r>
    </w:p>
    <w:p w14:paraId="7932E119" w14:textId="77777777" w:rsidR="00EE5D91" w:rsidRPr="00EE5D91" w:rsidRDefault="00EE5D91" w:rsidP="00EE5D91">
      <w:pPr>
        <w:pStyle w:val="FootnoteText"/>
        <w:rPr>
          <w:rFonts w:cstheme="minorHAnsi"/>
          <w:sz w:val="24"/>
          <w:szCs w:val="24"/>
        </w:rPr>
      </w:pPr>
      <w:r w:rsidRPr="00EE5D91">
        <w:rPr>
          <w:rFonts w:cstheme="minorHAnsi"/>
          <w:sz w:val="24"/>
          <w:szCs w:val="24"/>
        </w:rPr>
        <w:t xml:space="preserve">Amy Stanley, “Maidservants’ Tales:  Narrating Domestic and global History in Eurasia, 1600-1900,” </w:t>
      </w:r>
      <w:r w:rsidRPr="00EE5D91">
        <w:rPr>
          <w:rFonts w:cstheme="minorHAnsi"/>
          <w:i/>
          <w:iCs/>
          <w:sz w:val="24"/>
          <w:szCs w:val="24"/>
        </w:rPr>
        <w:t>American Historical Review</w:t>
      </w:r>
      <w:r w:rsidRPr="00EE5D91">
        <w:rPr>
          <w:rFonts w:cstheme="minorHAnsi"/>
          <w:sz w:val="24"/>
          <w:szCs w:val="24"/>
        </w:rPr>
        <w:t>, 121 (2016): 437-460, 460.</w:t>
      </w:r>
    </w:p>
    <w:p w14:paraId="3195A2A6" w14:textId="77777777" w:rsidR="00EE5D91" w:rsidRPr="00EE5D91" w:rsidRDefault="00EE5D91">
      <w:pPr>
        <w:rPr>
          <w:rFonts w:cstheme="minorHAnsi"/>
          <w:sz w:val="24"/>
          <w:szCs w:val="24"/>
        </w:rPr>
      </w:pPr>
    </w:p>
    <w:p w14:paraId="641DBDCC" w14:textId="77777777" w:rsidR="00D10DE6" w:rsidRPr="00EE5D91" w:rsidRDefault="00D10DE6">
      <w:pPr>
        <w:rPr>
          <w:rFonts w:cstheme="minorHAnsi"/>
          <w:sz w:val="24"/>
          <w:szCs w:val="24"/>
        </w:rPr>
      </w:pPr>
    </w:p>
    <w:p w14:paraId="6CF4388C" w14:textId="11498814" w:rsidR="00D10DE6" w:rsidRPr="00EE5D91" w:rsidRDefault="00D10DE6">
      <w:pPr>
        <w:rPr>
          <w:rFonts w:cstheme="minorHAnsi"/>
          <w:sz w:val="24"/>
          <w:szCs w:val="24"/>
        </w:rPr>
      </w:pPr>
    </w:p>
    <w:sectPr w:rsidR="00D10DE6" w:rsidRPr="00EE5D9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DE6"/>
    <w:rsid w:val="00242232"/>
    <w:rsid w:val="00D10DE6"/>
    <w:rsid w:val="00EE5D91"/>
    <w:rsid w:val="00F66D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756D9"/>
  <w15:chartTrackingRefBased/>
  <w15:docId w15:val="{FC77F294-D82E-4832-AA28-E061BC8CB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10DE6"/>
    <w:rPr>
      <w:color w:val="0563C1" w:themeColor="hyperlink"/>
      <w:u w:val="single"/>
    </w:rPr>
  </w:style>
  <w:style w:type="paragraph" w:styleId="FootnoteText">
    <w:name w:val="footnote text"/>
    <w:basedOn w:val="Normal"/>
    <w:link w:val="FootnoteTextChar"/>
    <w:uiPriority w:val="99"/>
    <w:rsid w:val="00EE5D91"/>
    <w:pPr>
      <w:spacing w:after="0" w:line="240" w:lineRule="auto"/>
    </w:pPr>
    <w:rPr>
      <w:rFonts w:eastAsiaTheme="minorEastAsia" w:cs="Times New Roman"/>
      <w:sz w:val="20"/>
      <w:szCs w:val="20"/>
      <w:lang w:val="nl-NL" w:eastAsia="nl-NL"/>
    </w:rPr>
  </w:style>
  <w:style w:type="character" w:customStyle="1" w:styleId="FootnoteTextChar">
    <w:name w:val="Footnote Text Char"/>
    <w:basedOn w:val="DefaultParagraphFont"/>
    <w:link w:val="FootnoteText"/>
    <w:uiPriority w:val="99"/>
    <w:rsid w:val="00EE5D91"/>
    <w:rPr>
      <w:rFonts w:eastAsiaTheme="minorEastAsia" w:cs="Times New Roman"/>
      <w:sz w:val="20"/>
      <w:szCs w:val="20"/>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oleObject" Target="embeddings/oleObject2.bin"/><Relationship Id="rId12" Type="http://schemas.openxmlformats.org/officeDocument/2006/relationships/hyperlink" Target="https://escholarship.org/uc/item/0z94n9hq"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hyperlink" Target="https://aeon.co/essays/is-global-history-still-possible-or-has-it-had-its-moment" TargetMode="External"/><Relationship Id="rId5" Type="http://schemas.openxmlformats.org/officeDocument/2006/relationships/oleObject" Target="embeddings/oleObject1.bin"/><Relationship Id="rId10" Type="http://schemas.openxmlformats.org/officeDocument/2006/relationships/hyperlink" Target="http://www.jstor.org/stable/29727795" TargetMode="External"/><Relationship Id="rId4" Type="http://schemas.openxmlformats.org/officeDocument/2006/relationships/image" Target="media/image1.emf"/><Relationship Id="rId9" Type="http://schemas.openxmlformats.org/officeDocument/2006/relationships/oleObject" Target="embeddings/oleObject3.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318</Words>
  <Characters>1818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Maxine Berg</dc:creator>
  <cp:keywords/>
  <dc:description/>
  <cp:lastModifiedBy>Maxine Berg</cp:lastModifiedBy>
  <cp:revision>1</cp:revision>
  <dcterms:created xsi:type="dcterms:W3CDTF">2021-09-21T14:25:00Z</dcterms:created>
  <dcterms:modified xsi:type="dcterms:W3CDTF">2021-09-21T14:41:00Z</dcterms:modified>
</cp:coreProperties>
</file>