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4A7CE0" w14:textId="77777777" w:rsidR="00DF578C" w:rsidRDefault="00DF578C" w:rsidP="00733368">
      <w:pPr>
        <w:spacing w:after="0" w:line="240" w:lineRule="auto"/>
        <w:outlineLvl w:val="0"/>
        <w:rPr>
          <w:rFonts w:ascii="Calibri" w:eastAsia="Times New Roman" w:hAnsi="Calibri" w:cs="Calibri"/>
          <w:b/>
          <w:bCs/>
          <w:kern w:val="36"/>
          <w:sz w:val="22"/>
          <w:szCs w:val="22"/>
          <w14:ligatures w14:val="none"/>
        </w:rPr>
      </w:pPr>
      <w:r w:rsidRPr="00733368">
        <w:rPr>
          <w:rFonts w:ascii="Calibri" w:eastAsia="Times New Roman" w:hAnsi="Calibri" w:cs="Calibri"/>
          <w:b/>
          <w:bCs/>
          <w:kern w:val="36"/>
          <w:sz w:val="22"/>
          <w:szCs w:val="22"/>
          <w14:ligatures w14:val="none"/>
        </w:rPr>
        <w:t>Conference Report: ‘After Postcolonialism: Global Theory, Local Transformations’</w:t>
      </w:r>
    </w:p>
    <w:p w14:paraId="36037AB2" w14:textId="77777777" w:rsidR="00733368" w:rsidRPr="00733368" w:rsidRDefault="00733368" w:rsidP="00733368">
      <w:pPr>
        <w:spacing w:after="0" w:line="240" w:lineRule="auto"/>
        <w:outlineLvl w:val="0"/>
        <w:rPr>
          <w:rFonts w:ascii="Calibri" w:eastAsia="Times New Roman" w:hAnsi="Calibri" w:cs="Calibri"/>
          <w:b/>
          <w:bCs/>
          <w:kern w:val="36"/>
          <w:sz w:val="22"/>
          <w:szCs w:val="22"/>
          <w14:ligatures w14:val="none"/>
        </w:rPr>
      </w:pPr>
    </w:p>
    <w:p w14:paraId="25A58168" w14:textId="77777777" w:rsidR="00DF578C" w:rsidRPr="00733368" w:rsidRDefault="00DF578C" w:rsidP="00733368">
      <w:pPr>
        <w:spacing w:after="0" w:line="240" w:lineRule="auto"/>
        <w:outlineLvl w:val="1"/>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Overview</w:t>
      </w:r>
    </w:p>
    <w:p w14:paraId="59623910"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The one-day conference ‘After Postcolonialism: Global Theory, Local Transformations’ was held on Wednesday, March 26, 2025, at the Wolfson Research Exchange, University of Warwick. The event successfully created a space for interdisciplinary dialogue on reconceptualizing postcolonial studies, with a turnout of more than twenty people from not only other UK universities but also from countries such as Singapore and Thailand. By bringing together diverse, global voices across disciplines, the conference examined the multifaceted aftermath of postcolonial studies over recent decades. It critically assessed the impact of postcolonial studies on our understanding of different postcolonial realities and explored how current scholarship might contribute to forging alternative worlds for the future.</w:t>
      </w:r>
    </w:p>
    <w:p w14:paraId="544F7401"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28340330" w14:textId="77777777" w:rsidR="00DF578C" w:rsidRPr="00733368" w:rsidRDefault="00DF578C" w:rsidP="00733368">
      <w:pPr>
        <w:spacing w:after="0" w:line="240" w:lineRule="auto"/>
        <w:outlineLvl w:val="1"/>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Conference Framework, Vision and Structure</w:t>
      </w:r>
    </w:p>
    <w:p w14:paraId="6E6B2340"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Structured as a full-day event, the conference began with an introduction by Wayne Kwong, followed by a keynote address by Professor Lindiwe Dovey from that set the intellectual foundation for the day’s discussions.</w:t>
      </w:r>
    </w:p>
    <w:p w14:paraId="42CB3C76"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1F342DC9" w14:textId="77777777" w:rsidR="00DF578C" w:rsidRPr="00733368"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Throughout the day’s sessions, organised as parallel panels across three time slots, participants interrogated whose voices have been marginalized within canonical postcolonial contexts. The panels paid particular attention to the multiple manifestations of imperialistic oppressions within regions where Western power represents only one force among many, often clashing or collaborating with other imperial entities. This focus was evident in papers like Mridula Sharma’s ‘Settler Colonialism after Postcolonialism: Kashmir, Palestine, and Futurity’ and Ding-Liang Chen’s ‘Beyond Empire and Revolution: Decolonial Ecologies of Postwar Vietnam.’</w:t>
      </w:r>
    </w:p>
    <w:p w14:paraId="2FCD4246"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 xml:space="preserve">The second keynote address by Professor Ayesha Siddiqi in the afternoon supplied the conference with first-hand experience of post-disaster community (re)building. The conference culminated in the roundtable, titled ‘Double Vision: A Dialogue on Creative Practice and Academic Research,’ which brought together Professor Dovey with practitioners Natalie Lo Lai Lai and Alejandro Casales N., with Wayne Kwong moderating. This structure embodied the conference’s commitment to bridging theory and practice, bringing together varied perspectives to explore what comes </w:t>
      </w:r>
      <w:r w:rsidRPr="00733368">
        <w:rPr>
          <w:rFonts w:ascii="Calibri" w:eastAsia="Times New Roman" w:hAnsi="Calibri" w:cs="Calibri"/>
          <w:i/>
          <w:iCs/>
          <w:kern w:val="0"/>
          <w:sz w:val="22"/>
          <w:szCs w:val="22"/>
          <w14:ligatures w14:val="none"/>
        </w:rPr>
        <w:t>after</w:t>
      </w:r>
      <w:r w:rsidRPr="00733368">
        <w:rPr>
          <w:rFonts w:ascii="Calibri" w:eastAsia="Times New Roman" w:hAnsi="Calibri" w:cs="Calibri"/>
          <w:kern w:val="0"/>
          <w:sz w:val="22"/>
          <w:szCs w:val="22"/>
          <w14:ligatures w14:val="none"/>
        </w:rPr>
        <w:t xml:space="preserve"> postcolonialism.</w:t>
      </w:r>
    </w:p>
    <w:p w14:paraId="3D8FBDF6"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7074517E"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 xml:space="preserve">The conference welcomed exploration of broader global historical landscapes, including pre-Westphalian interstate systems where the West played no role, revealing different international systems and orders as articulated in recent scholarship. This vision was reinforced through dedicated Q&amp;A sessions after each panel and facilitated networking during coffee breaks and lunch, allowing participants to deepen connections and continue conversations begun in formal sessions. </w:t>
      </w:r>
    </w:p>
    <w:p w14:paraId="55259DC0"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3967355A" w14:textId="77777777" w:rsidR="00DF578C" w:rsidRPr="00733368" w:rsidRDefault="00DF578C" w:rsidP="00733368">
      <w:pPr>
        <w:spacing w:after="0" w:line="240" w:lineRule="auto"/>
        <w:outlineLvl w:val="1"/>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Thematic Focus Areas</w:t>
      </w:r>
    </w:p>
    <w:p w14:paraId="47768ACC" w14:textId="77777777" w:rsidR="00DF578C" w:rsidRPr="00733368" w:rsidRDefault="00DF578C" w:rsidP="00733368">
      <w:pPr>
        <w:spacing w:after="0" w:line="240" w:lineRule="auto"/>
        <w:outlineLvl w:val="2"/>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Panel 1A: Decolonial Ecologies: Grassroots Resistance and Agricultural Futures</w:t>
      </w:r>
    </w:p>
    <w:p w14:paraId="29B78A6E"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Chaired by Ambika Raja, this panel examined grassroots resistance and environmental consciousness across postcolonial landscapes with a specific focus on agricultural futures. Lo Lai Lai Natalie presented on ‘From Fields to Futures: Rethinking Farming Heritage and Urbanization in New Territories,’ exploring the perspective of artist-farmers in Hong Kong over the past decade. Irene Martí Gil discussed ‘Reclamation, Resilience, and Resistance: Safeguarding Guatemala Cultural and Natural Landscapes,’ while Cleo Jay analysed ‘Redesigning Agricultural Policies in Postcolonial North Africa: Between Grassroots Movements and the Agribusiness Empire.’ Together, these presentations highlighted the interconnections between environmental justice and decolonisation, pointing to ways that exploitative resource extraction continues colonial patterns of domination in new forms.</w:t>
      </w:r>
    </w:p>
    <w:p w14:paraId="6D470CBE"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01465B08" w14:textId="77777777" w:rsidR="00DF578C" w:rsidRPr="00733368" w:rsidRDefault="00DF578C" w:rsidP="00733368">
      <w:pPr>
        <w:spacing w:after="0" w:line="240" w:lineRule="auto"/>
        <w:outlineLvl w:val="2"/>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lastRenderedPageBreak/>
        <w:t>Panel 1B: Empire's Reflections: Power, Subjectivity, and Anti-colonial Imagination</w:t>
      </w:r>
    </w:p>
    <w:p w14:paraId="031EF6CF"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 xml:space="preserve">Chaired by Lu Feng, this panel examined how colonial legacies continue to shape contemporary cultural expression and anti-colonial imagination. Thiseas Stefanatos presented ‘The Inner Self as an Imperial Frontier: Orthodox Mysticism and Modern Psychiatry in the British Ionian Islands Protectorate 1809-1864,’ exploring imperialism's impact on subjectivity. Mridula Sharma's paper on ‘Settler Colonialism after Postcolonialism: Kashmir, Palestine, and Futurity’ drew important connections between ongoing settler colonial projects. </w:t>
      </w:r>
    </w:p>
    <w:p w14:paraId="55876667"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55EF1FD1" w14:textId="77777777" w:rsidR="00DF578C" w:rsidRPr="00733368" w:rsidRDefault="00DF578C" w:rsidP="00733368">
      <w:pPr>
        <w:spacing w:after="0" w:line="240" w:lineRule="auto"/>
        <w:outlineLvl w:val="2"/>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 xml:space="preserve">Panel 2B: </w:t>
      </w:r>
      <w:proofErr w:type="gramStart"/>
      <w:r w:rsidRPr="00733368">
        <w:rPr>
          <w:rFonts w:ascii="Calibri" w:eastAsia="Times New Roman" w:hAnsi="Calibri" w:cs="Calibri"/>
          <w:b/>
          <w:bCs/>
          <w:kern w:val="0"/>
          <w:sz w:val="22"/>
          <w:szCs w:val="22"/>
          <w14:ligatures w14:val="none"/>
        </w:rPr>
        <w:t>Art-Making</w:t>
      </w:r>
      <w:proofErr w:type="gramEnd"/>
      <w:r w:rsidRPr="00733368">
        <w:rPr>
          <w:rFonts w:ascii="Calibri" w:eastAsia="Times New Roman" w:hAnsi="Calibri" w:cs="Calibri"/>
          <w:b/>
          <w:bCs/>
          <w:kern w:val="0"/>
          <w:sz w:val="22"/>
          <w:szCs w:val="22"/>
          <w14:ligatures w14:val="none"/>
        </w:rPr>
        <w:t xml:space="preserve"> as Creative Resistance</w:t>
      </w:r>
    </w:p>
    <w:p w14:paraId="51A4783D"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Chaired by Wayne Kwong, this panel showcased various creative practices as forms of decolonial resistance. Saayan Chattopadhyay presented ‘Decolonial aestheSis of Ramkinkar Baij: Environmental consciousness, the rhetoric of modernity and sculptural practices,’ exploring the intersection of art and ecological awareness. Alejandro Casales N. discussed ‘Artistic creation in dehumanized environments,’ addressing a topic he noted as being under-reviewed in contemporary art. Francesca Maria Villani's ‘Hearing Beyond Exclusion: Power, Identity, and Resistance in Black Classical composers’ demonstrated how classical music creates spaces for articulating experiences that academic discourse often struggles to capture. Collectively, these presentations illustrated how aesthetic practices can embody theoretical concepts while reaching audiences beyond academic contexts.</w:t>
      </w:r>
    </w:p>
    <w:p w14:paraId="60A4DB91"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2DA5AF8D" w14:textId="77777777" w:rsidR="00DF578C" w:rsidRPr="00733368" w:rsidRDefault="00DF578C" w:rsidP="00733368">
      <w:pPr>
        <w:spacing w:after="0" w:line="240" w:lineRule="auto"/>
        <w:outlineLvl w:val="2"/>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Panel 2A: Mobile Bodies, Contested Spaces: Identity Reformation in Global Asia</w:t>
      </w:r>
    </w:p>
    <w:p w14:paraId="484C8392"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Chaired by Nadia Hajal-Beckleh, this panel addressed how bodies navigate contested spaces, migration, and surveillance in Global Asia. Pancharle Thongpanich presented ‘Creative Chiang Saen Project: Decolonising and Reconstructing Chiang Saen Identity through Decoding Local Narratives and Cultural Spaces,’ focusing on place-based identity reformation in the context of local communities in the borderland of northern Thailand. Wenfu Zhang’s ‘Chinese Übermensches: Mobility Capital and the Entrepreneurial Experiences of Young Privileged Chinese Migrants’ examined the complexities of migration and privilege among British Chinese immigrants. Hasina Wahida’s ‘Vulnerable Bodies and the Theft of Identities: Negotiating the concept of Home in perspective of the Rohingya Crisis in an Age of Surveillance’ highlighted how bodily experience serves as both a site of oppression and resistance in the contested spaces in Myanmar, with particular attention to borders, movement restrictions, and technologies of control.</w:t>
      </w:r>
    </w:p>
    <w:p w14:paraId="178790F1"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3A605F97" w14:textId="77777777" w:rsidR="00DF578C" w:rsidRPr="00733368" w:rsidRDefault="00DF578C" w:rsidP="00733368">
      <w:pPr>
        <w:spacing w:after="0" w:line="240" w:lineRule="auto"/>
        <w:outlineLvl w:val="2"/>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Panel 3B: Silenced Voices, Living Worlds: Gender Politics in Postcolonial Literature</w:t>
      </w:r>
    </w:p>
    <w:p w14:paraId="1E3FFEBF"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 xml:space="preserve">Chaired by Lu Feng, this panel centred silenced voices in postcolonial literature and social contexts. Hesna Iaboudi presented ‘Enunciating the Environment in the Postcolonial Narrative: An Earth-Centred Approach to Ibrahim Al Koni's The Bleeding of the Stone,’ integrating ecological and gender perspectives. Pelin Gölcük's ‘Writing Back through Reincarnation: Revocalization of the Muted Female Voice in Buchi Emechata’s </w:t>
      </w:r>
      <w:proofErr w:type="gramStart"/>
      <w:r w:rsidRPr="00733368">
        <w:rPr>
          <w:rFonts w:ascii="Calibri" w:eastAsia="Times New Roman" w:hAnsi="Calibri" w:cs="Calibri"/>
          <w:kern w:val="0"/>
          <w:sz w:val="22"/>
          <w:szCs w:val="22"/>
          <w14:ligatures w14:val="none"/>
        </w:rPr>
        <w:t>The</w:t>
      </w:r>
      <w:proofErr w:type="gramEnd"/>
      <w:r w:rsidRPr="00733368">
        <w:rPr>
          <w:rFonts w:ascii="Calibri" w:eastAsia="Times New Roman" w:hAnsi="Calibri" w:cs="Calibri"/>
          <w:kern w:val="0"/>
          <w:sz w:val="22"/>
          <w:szCs w:val="22"/>
          <w14:ligatures w14:val="none"/>
        </w:rPr>
        <w:t xml:space="preserve"> Joys of Motherhood’ explored feminist perspectives on decolonisation that address the double marginalisation experienced by women in colonised regions. Manal Shalaby discussed ‘Bees and Bread: On the Relational Dynamics of Contemporary Middle Eastern Masculinity,’ while Shankara Angadi gave a presentation on his ongoing PhD project in history, entitled ‘The girl’s life was an unhappy one, shunned by family and society: how Mary Munro escaped the historian’s curse.’ Together, these presentations emphasised the importance of intersectional approaches that recognize how gender, class, race, and other factors interact within postcolonial power structures.</w:t>
      </w:r>
    </w:p>
    <w:p w14:paraId="3D69CEDB"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181CA587" w14:textId="77777777" w:rsidR="00DF578C" w:rsidRPr="00733368" w:rsidRDefault="00DF578C" w:rsidP="00733368">
      <w:pPr>
        <w:spacing w:after="0" w:line="240" w:lineRule="auto"/>
        <w:outlineLvl w:val="2"/>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Panel 3A: Cold War Ecologies in Southeast Asia and Eastern Europe</w:t>
      </w:r>
    </w:p>
    <w:p w14:paraId="1E06F21A"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 xml:space="preserve">Chaired by Wayne Kwong, this panel examined the environmental and social impacts of Cold War politics in Southeast Asia and Eastern Europe. Augustine Chay presented ‘The Cold War in the Deep Jungle: Locating Malay(si)a’s Environmental Fracture in its Trajectory of Anti-communist </w:t>
      </w:r>
      <w:r w:rsidRPr="00733368">
        <w:rPr>
          <w:rFonts w:ascii="Calibri" w:eastAsia="Times New Roman" w:hAnsi="Calibri" w:cs="Calibri"/>
          <w:kern w:val="0"/>
          <w:sz w:val="22"/>
          <w:szCs w:val="22"/>
          <w14:ligatures w14:val="none"/>
        </w:rPr>
        <w:lastRenderedPageBreak/>
        <w:t>Decolonisation,’ revealing how Cold War interventions created enduring ecological damage in Southeast Asia. Inna Häkkinen’s ‘Fictionalizing Nuclear Legacy of Postcolonial Lithuania: Ursula Wong’s Amber Widow’ explored the environmental consequences of nuclear development in Eastern Europe. Ding-Liang Chen’s ‘Beyond Empire and Revolution: Decolonial Ecologies of Postwar Vietnam’ highlighted often-overlooked connections between Cold War competition and colonial continuities, demonstrating how superpower rivalries often reinforced rather than dismantled colonial structures.</w:t>
      </w:r>
    </w:p>
    <w:p w14:paraId="4A0FCE49"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0B82A2EB" w14:textId="77777777" w:rsidR="00DF578C" w:rsidRPr="00733368" w:rsidRDefault="00DF578C" w:rsidP="00733368">
      <w:pPr>
        <w:spacing w:after="0" w:line="240" w:lineRule="auto"/>
        <w:outlineLvl w:val="2"/>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Roundtable: Double Vision: A Dialogue on Creative Practice and Academic Research</w:t>
      </w:r>
    </w:p>
    <w:p w14:paraId="2DB0D22F"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The culminating roundtable brought together Professor Lindiwe Dovey, Natalie Lo Lai Lai, and Alejandro Casales N., with Wayne Kwong serving as moderator. This session explicitly addressed the relationship between theory and practice, bringing together academic researchers and creative practitioners to explore productive tensions and collaborations between scholarly work and applied approaches. Drawing from the perspectives of a scholar (Dovey), an artist-farmer (Lo), and an artist (Casales), the roundtable demonstrated the importance of academic accountability to affected communities and explored methodologies that bridge disciplinary boundaries. This conversation exemplified the conference’s commitment to bringing together diverse voices and fostering dialogue across traditional divides.</w:t>
      </w:r>
    </w:p>
    <w:p w14:paraId="7F115164"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737C337B" w14:textId="77777777" w:rsidR="00DF578C" w:rsidRPr="00733368" w:rsidRDefault="00DF578C" w:rsidP="00733368">
      <w:pPr>
        <w:spacing w:after="0" w:line="240" w:lineRule="auto"/>
        <w:outlineLvl w:val="2"/>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Keynote Addresses</w:t>
      </w:r>
    </w:p>
    <w:p w14:paraId="7ECFF0CA"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The conference featured two distinguished keynote speakers who provided valuable framing for the day’s discussions. Professor Lindiwe Dovey, who works in film and screen studies at the University of London, SOAS, delivered the morning keynote, in which she generously shared her personal experience with regards to the discourse and practice of decolonisation. Her presentation set the intellectual tone for the day’s explorations. In the afternoon, Professor Ayesha Siddiqi’s address further deepened the conversations regarding the interplay between theory and practice. As a human geographer who currently works at the University of Cambridge, Professor Siddiqi shared her first-hand experience on post-disaster community (re)building in multiple so-called Third-World countries. Both speakers brought significant expertise and perspective to the theme of ‘After Postcolonialism,’ helping to bridge the various strands of discussion that emerged throughout the parallel panels.</w:t>
      </w:r>
    </w:p>
    <w:p w14:paraId="17B4BC9B"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0A556002" w14:textId="77777777" w:rsidR="00DF578C" w:rsidRPr="00733368" w:rsidRDefault="00DF578C" w:rsidP="00733368">
      <w:pPr>
        <w:spacing w:after="0" w:line="240" w:lineRule="auto"/>
        <w:outlineLvl w:val="1"/>
        <w:rPr>
          <w:rFonts w:ascii="Calibri" w:eastAsia="Times New Roman" w:hAnsi="Calibri" w:cs="Calibri"/>
          <w:b/>
          <w:bCs/>
          <w:kern w:val="0"/>
          <w:sz w:val="22"/>
          <w:szCs w:val="22"/>
          <w14:ligatures w14:val="none"/>
        </w:rPr>
      </w:pPr>
      <w:r w:rsidRPr="00733368">
        <w:rPr>
          <w:rFonts w:ascii="Calibri" w:eastAsia="Times New Roman" w:hAnsi="Calibri" w:cs="Calibri"/>
          <w:b/>
          <w:bCs/>
          <w:kern w:val="0"/>
          <w:sz w:val="22"/>
          <w:szCs w:val="22"/>
          <w14:ligatures w14:val="none"/>
        </w:rPr>
        <w:t>Conclusion and Future Directions</w:t>
      </w:r>
    </w:p>
    <w:p w14:paraId="0850F27D" w14:textId="77777777" w:rsidR="00DF578C"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The ‘After Postcolonialism: Global Theory, Local Transformations’ conference successfully established that much-needed discussions in postcolonial studies should be place-focused, future-oriented, and action-driven. Throughout the day’s proceedings, participants cultivated visions of plurality, sustainability, and dignity for the epoch after postcolonialism. The interdisciplinary nature of the gathering generated rich dialogues across traditional boundaries, suggesting promising directions for future research and collaboration.</w:t>
      </w:r>
    </w:p>
    <w:p w14:paraId="20669429" w14:textId="77777777" w:rsidR="00733368" w:rsidRPr="00733368" w:rsidRDefault="00733368" w:rsidP="00733368">
      <w:pPr>
        <w:spacing w:after="0" w:line="240" w:lineRule="auto"/>
        <w:rPr>
          <w:rFonts w:ascii="Calibri" w:eastAsia="Times New Roman" w:hAnsi="Calibri" w:cs="Calibri"/>
          <w:kern w:val="0"/>
          <w:sz w:val="22"/>
          <w:szCs w:val="22"/>
          <w14:ligatures w14:val="none"/>
        </w:rPr>
      </w:pPr>
    </w:p>
    <w:p w14:paraId="24735D02" w14:textId="77777777" w:rsidR="00DF578C" w:rsidRPr="00733368"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The conference demonstrated that moving beyond postcolonialism does not mean abandoning its critical insights but rather expanding and transforming them to address contemporary challenges. By centring marginalised voices and emphasising practical action alongside theoretical innovation, the event modelled an approach to academic discourse that itself embodies decolonial principles. The conference structure—with its parallel panels focused on ecologies, power dynamics, creative resistance, embodied experiences, gender politics, and Cold War legacies—reflected the multifaceted nature of postcolonial studies while pointing toward new horizons of inquiry.</w:t>
      </w:r>
    </w:p>
    <w:p w14:paraId="78C3E705" w14:textId="77777777" w:rsidR="00DF578C" w:rsidRPr="00733368" w:rsidRDefault="00DF578C" w:rsidP="00733368">
      <w:pPr>
        <w:spacing w:after="0" w:line="240" w:lineRule="auto"/>
        <w:rPr>
          <w:rFonts w:ascii="Calibri" w:eastAsia="Times New Roman" w:hAnsi="Calibri" w:cs="Calibri"/>
          <w:kern w:val="0"/>
          <w:sz w:val="22"/>
          <w:szCs w:val="22"/>
          <w14:ligatures w14:val="none"/>
        </w:rPr>
      </w:pPr>
      <w:r w:rsidRPr="00733368">
        <w:rPr>
          <w:rFonts w:ascii="Calibri" w:eastAsia="Times New Roman" w:hAnsi="Calibri" w:cs="Calibri"/>
          <w:kern w:val="0"/>
          <w:sz w:val="22"/>
          <w:szCs w:val="22"/>
          <w14:ligatures w14:val="none"/>
        </w:rPr>
        <w:t xml:space="preserve">The closing roundtable, bringing together academic and creative practitioners, exemplified the conference’s commitment to bridging theory and practice. The organisers of this event, namely Lu Feng and Wayne Kwong, believe that the conversations begun during this one-day gathering laid </w:t>
      </w:r>
      <w:r w:rsidRPr="00733368">
        <w:rPr>
          <w:rFonts w:ascii="Calibri" w:eastAsia="Times New Roman" w:hAnsi="Calibri" w:cs="Calibri"/>
          <w:kern w:val="0"/>
          <w:sz w:val="22"/>
          <w:szCs w:val="22"/>
          <w14:ligatures w14:val="none"/>
        </w:rPr>
        <w:lastRenderedPageBreak/>
        <w:t>groundwork for ongoing networks and collaborations that will continue to shape the field in the years to come.</w:t>
      </w:r>
    </w:p>
    <w:p w14:paraId="0E82AE18" w14:textId="77777777" w:rsidR="00DF578C" w:rsidRPr="00733368" w:rsidRDefault="00DF578C" w:rsidP="00733368">
      <w:pPr>
        <w:spacing w:after="0" w:line="240" w:lineRule="auto"/>
        <w:rPr>
          <w:rFonts w:ascii="Calibri" w:hAnsi="Calibri" w:cs="Calibri"/>
          <w:sz w:val="22"/>
          <w:szCs w:val="22"/>
        </w:rPr>
      </w:pPr>
    </w:p>
    <w:sectPr w:rsidR="00DF578C" w:rsidRPr="00733368" w:rsidSect="00102F68">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A3581"/>
    <w:multiLevelType w:val="multilevel"/>
    <w:tmpl w:val="C7D84D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507866"/>
    <w:multiLevelType w:val="multilevel"/>
    <w:tmpl w:val="6074A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2F2E18"/>
    <w:multiLevelType w:val="multilevel"/>
    <w:tmpl w:val="377E2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147503"/>
    <w:multiLevelType w:val="multilevel"/>
    <w:tmpl w:val="6F28C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C750C3"/>
    <w:multiLevelType w:val="multilevel"/>
    <w:tmpl w:val="114E2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90362C"/>
    <w:multiLevelType w:val="multilevel"/>
    <w:tmpl w:val="E7A682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E5D7F3C"/>
    <w:multiLevelType w:val="multilevel"/>
    <w:tmpl w:val="DBE20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20022BC"/>
    <w:multiLevelType w:val="multilevel"/>
    <w:tmpl w:val="9438B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14469C"/>
    <w:multiLevelType w:val="multilevel"/>
    <w:tmpl w:val="1FE26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BD23CA"/>
    <w:multiLevelType w:val="multilevel"/>
    <w:tmpl w:val="7A8E37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F3546E8"/>
    <w:multiLevelType w:val="multilevel"/>
    <w:tmpl w:val="FDE02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1D270A"/>
    <w:multiLevelType w:val="multilevel"/>
    <w:tmpl w:val="D764A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741399"/>
    <w:multiLevelType w:val="multilevel"/>
    <w:tmpl w:val="2DDE0D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13713B4"/>
    <w:multiLevelType w:val="multilevel"/>
    <w:tmpl w:val="30E41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281206C"/>
    <w:multiLevelType w:val="multilevel"/>
    <w:tmpl w:val="0A4A3A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46B12AD"/>
    <w:multiLevelType w:val="multilevel"/>
    <w:tmpl w:val="3BE8A2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880163E"/>
    <w:multiLevelType w:val="multilevel"/>
    <w:tmpl w:val="11B21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AB7DC0"/>
    <w:multiLevelType w:val="multilevel"/>
    <w:tmpl w:val="F2F68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C21412"/>
    <w:multiLevelType w:val="multilevel"/>
    <w:tmpl w:val="628C1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CCD7B92"/>
    <w:multiLevelType w:val="multilevel"/>
    <w:tmpl w:val="BA444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34D5E8D"/>
    <w:multiLevelType w:val="multilevel"/>
    <w:tmpl w:val="1234A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A0A5662"/>
    <w:multiLevelType w:val="multilevel"/>
    <w:tmpl w:val="5CB60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12B5D0B"/>
    <w:multiLevelType w:val="multilevel"/>
    <w:tmpl w:val="8F180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3E973FB"/>
    <w:multiLevelType w:val="multilevel"/>
    <w:tmpl w:val="6CD6D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8CD2A48"/>
    <w:multiLevelType w:val="multilevel"/>
    <w:tmpl w:val="AA948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A0E2CAA"/>
    <w:multiLevelType w:val="multilevel"/>
    <w:tmpl w:val="79844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63910262">
    <w:abstractNumId w:val="25"/>
  </w:num>
  <w:num w:numId="2" w16cid:durableId="481312266">
    <w:abstractNumId w:val="11"/>
  </w:num>
  <w:num w:numId="3" w16cid:durableId="533273764">
    <w:abstractNumId w:val="15"/>
  </w:num>
  <w:num w:numId="4" w16cid:durableId="1649826365">
    <w:abstractNumId w:val="24"/>
  </w:num>
  <w:num w:numId="5" w16cid:durableId="737174707">
    <w:abstractNumId w:val="9"/>
  </w:num>
  <w:num w:numId="6" w16cid:durableId="671880267">
    <w:abstractNumId w:val="0"/>
  </w:num>
  <w:num w:numId="7" w16cid:durableId="875968997">
    <w:abstractNumId w:val="14"/>
  </w:num>
  <w:num w:numId="8" w16cid:durableId="1737778677">
    <w:abstractNumId w:val="13"/>
  </w:num>
  <w:num w:numId="9" w16cid:durableId="1052266558">
    <w:abstractNumId w:val="8"/>
  </w:num>
  <w:num w:numId="10" w16cid:durableId="1721590790">
    <w:abstractNumId w:val="7"/>
  </w:num>
  <w:num w:numId="11" w16cid:durableId="443043389">
    <w:abstractNumId w:val="2"/>
  </w:num>
  <w:num w:numId="12" w16cid:durableId="27878727">
    <w:abstractNumId w:val="18"/>
  </w:num>
  <w:num w:numId="13" w16cid:durableId="1905412550">
    <w:abstractNumId w:val="4"/>
  </w:num>
  <w:num w:numId="14" w16cid:durableId="934096146">
    <w:abstractNumId w:val="21"/>
  </w:num>
  <w:num w:numId="15" w16cid:durableId="1244729042">
    <w:abstractNumId w:val="16"/>
  </w:num>
  <w:num w:numId="16" w16cid:durableId="1174028652">
    <w:abstractNumId w:val="12"/>
  </w:num>
  <w:num w:numId="17" w16cid:durableId="2086216389">
    <w:abstractNumId w:val="6"/>
  </w:num>
  <w:num w:numId="18" w16cid:durableId="827328883">
    <w:abstractNumId w:val="3"/>
  </w:num>
  <w:num w:numId="19" w16cid:durableId="392823302">
    <w:abstractNumId w:val="10"/>
  </w:num>
  <w:num w:numId="20" w16cid:durableId="334572779">
    <w:abstractNumId w:val="17"/>
  </w:num>
  <w:num w:numId="21" w16cid:durableId="301279116">
    <w:abstractNumId w:val="22"/>
  </w:num>
  <w:num w:numId="22" w16cid:durableId="381027568">
    <w:abstractNumId w:val="19"/>
  </w:num>
  <w:num w:numId="23" w16cid:durableId="527333406">
    <w:abstractNumId w:val="5"/>
  </w:num>
  <w:num w:numId="24" w16cid:durableId="326447974">
    <w:abstractNumId w:val="23"/>
  </w:num>
  <w:num w:numId="25" w16cid:durableId="3554830">
    <w:abstractNumId w:val="1"/>
  </w:num>
  <w:num w:numId="26" w16cid:durableId="127698637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78C"/>
    <w:rsid w:val="00000BDB"/>
    <w:rsid w:val="0000233D"/>
    <w:rsid w:val="000069B3"/>
    <w:rsid w:val="00006C29"/>
    <w:rsid w:val="00006F44"/>
    <w:rsid w:val="00007780"/>
    <w:rsid w:val="00013634"/>
    <w:rsid w:val="00014A70"/>
    <w:rsid w:val="000159CC"/>
    <w:rsid w:val="00016CCD"/>
    <w:rsid w:val="0001744E"/>
    <w:rsid w:val="000259B4"/>
    <w:rsid w:val="00026634"/>
    <w:rsid w:val="00027C15"/>
    <w:rsid w:val="000324DB"/>
    <w:rsid w:val="00035422"/>
    <w:rsid w:val="000354E4"/>
    <w:rsid w:val="00035C33"/>
    <w:rsid w:val="0003656C"/>
    <w:rsid w:val="00036A01"/>
    <w:rsid w:val="0004056B"/>
    <w:rsid w:val="00041D66"/>
    <w:rsid w:val="0004218B"/>
    <w:rsid w:val="00050C5A"/>
    <w:rsid w:val="00051B8D"/>
    <w:rsid w:val="00052A77"/>
    <w:rsid w:val="00054E59"/>
    <w:rsid w:val="000641D6"/>
    <w:rsid w:val="000655E2"/>
    <w:rsid w:val="00065C09"/>
    <w:rsid w:val="00072DCF"/>
    <w:rsid w:val="0007423C"/>
    <w:rsid w:val="0007494D"/>
    <w:rsid w:val="00076EF6"/>
    <w:rsid w:val="0007700B"/>
    <w:rsid w:val="00080069"/>
    <w:rsid w:val="000843F5"/>
    <w:rsid w:val="000847EA"/>
    <w:rsid w:val="00086003"/>
    <w:rsid w:val="000863A1"/>
    <w:rsid w:val="0008648E"/>
    <w:rsid w:val="000867AA"/>
    <w:rsid w:val="00087E5F"/>
    <w:rsid w:val="0009181F"/>
    <w:rsid w:val="0009222D"/>
    <w:rsid w:val="00096D5E"/>
    <w:rsid w:val="00096F01"/>
    <w:rsid w:val="000A6E2B"/>
    <w:rsid w:val="000B243E"/>
    <w:rsid w:val="000B3D22"/>
    <w:rsid w:val="000B7F7B"/>
    <w:rsid w:val="000C0945"/>
    <w:rsid w:val="000C1D47"/>
    <w:rsid w:val="000C44B3"/>
    <w:rsid w:val="000C54FE"/>
    <w:rsid w:val="000C6417"/>
    <w:rsid w:val="000D2164"/>
    <w:rsid w:val="000D39A2"/>
    <w:rsid w:val="000D584E"/>
    <w:rsid w:val="000D6611"/>
    <w:rsid w:val="000D695E"/>
    <w:rsid w:val="000E2F43"/>
    <w:rsid w:val="000E46DF"/>
    <w:rsid w:val="000E4DB4"/>
    <w:rsid w:val="000E5D8B"/>
    <w:rsid w:val="000E780E"/>
    <w:rsid w:val="000F085C"/>
    <w:rsid w:val="000F182F"/>
    <w:rsid w:val="000F561B"/>
    <w:rsid w:val="000F695B"/>
    <w:rsid w:val="000F6AF5"/>
    <w:rsid w:val="000F786A"/>
    <w:rsid w:val="00101F16"/>
    <w:rsid w:val="00102F68"/>
    <w:rsid w:val="00105906"/>
    <w:rsid w:val="00105BC3"/>
    <w:rsid w:val="00106628"/>
    <w:rsid w:val="00110648"/>
    <w:rsid w:val="00111623"/>
    <w:rsid w:val="001121C2"/>
    <w:rsid w:val="001127F4"/>
    <w:rsid w:val="00113A93"/>
    <w:rsid w:val="00117382"/>
    <w:rsid w:val="00122213"/>
    <w:rsid w:val="00122BB4"/>
    <w:rsid w:val="00125A8F"/>
    <w:rsid w:val="00130B61"/>
    <w:rsid w:val="00131339"/>
    <w:rsid w:val="00135059"/>
    <w:rsid w:val="00135884"/>
    <w:rsid w:val="00135A3B"/>
    <w:rsid w:val="00136B5C"/>
    <w:rsid w:val="00137D52"/>
    <w:rsid w:val="001410FC"/>
    <w:rsid w:val="00144385"/>
    <w:rsid w:val="001449DF"/>
    <w:rsid w:val="001475B0"/>
    <w:rsid w:val="00151253"/>
    <w:rsid w:val="00151672"/>
    <w:rsid w:val="00151720"/>
    <w:rsid w:val="00153BCB"/>
    <w:rsid w:val="00154FFB"/>
    <w:rsid w:val="001576D7"/>
    <w:rsid w:val="001609FB"/>
    <w:rsid w:val="00162387"/>
    <w:rsid w:val="0016394E"/>
    <w:rsid w:val="001639F1"/>
    <w:rsid w:val="001654F6"/>
    <w:rsid w:val="00170C9A"/>
    <w:rsid w:val="00171D9C"/>
    <w:rsid w:val="001739F8"/>
    <w:rsid w:val="00173E42"/>
    <w:rsid w:val="0017628D"/>
    <w:rsid w:val="0017722F"/>
    <w:rsid w:val="00181135"/>
    <w:rsid w:val="001821AB"/>
    <w:rsid w:val="00185732"/>
    <w:rsid w:val="00185E3B"/>
    <w:rsid w:val="00185E6C"/>
    <w:rsid w:val="0019350C"/>
    <w:rsid w:val="00194C49"/>
    <w:rsid w:val="001A29D0"/>
    <w:rsid w:val="001A32DB"/>
    <w:rsid w:val="001A3A92"/>
    <w:rsid w:val="001A3C13"/>
    <w:rsid w:val="001A4122"/>
    <w:rsid w:val="001A5FF7"/>
    <w:rsid w:val="001A6612"/>
    <w:rsid w:val="001A7CAC"/>
    <w:rsid w:val="001B01B5"/>
    <w:rsid w:val="001B1319"/>
    <w:rsid w:val="001B176A"/>
    <w:rsid w:val="001B1F6D"/>
    <w:rsid w:val="001B2B66"/>
    <w:rsid w:val="001B367B"/>
    <w:rsid w:val="001B4963"/>
    <w:rsid w:val="001B5A5A"/>
    <w:rsid w:val="001B650F"/>
    <w:rsid w:val="001C498B"/>
    <w:rsid w:val="001C785A"/>
    <w:rsid w:val="001C78D4"/>
    <w:rsid w:val="001D1502"/>
    <w:rsid w:val="001D1AE5"/>
    <w:rsid w:val="001D239D"/>
    <w:rsid w:val="001D357E"/>
    <w:rsid w:val="001D3BAC"/>
    <w:rsid w:val="001D6802"/>
    <w:rsid w:val="001D6CEC"/>
    <w:rsid w:val="001D7B07"/>
    <w:rsid w:val="001E2002"/>
    <w:rsid w:val="001E295A"/>
    <w:rsid w:val="001E75AD"/>
    <w:rsid w:val="001E79D5"/>
    <w:rsid w:val="001F45C1"/>
    <w:rsid w:val="001F5F69"/>
    <w:rsid w:val="001F78B7"/>
    <w:rsid w:val="00202373"/>
    <w:rsid w:val="002025E1"/>
    <w:rsid w:val="002076BE"/>
    <w:rsid w:val="0021304A"/>
    <w:rsid w:val="00215216"/>
    <w:rsid w:val="00220F60"/>
    <w:rsid w:val="00223BE5"/>
    <w:rsid w:val="0022588C"/>
    <w:rsid w:val="00226C92"/>
    <w:rsid w:val="00226D2F"/>
    <w:rsid w:val="00227751"/>
    <w:rsid w:val="00227970"/>
    <w:rsid w:val="00231096"/>
    <w:rsid w:val="00234C41"/>
    <w:rsid w:val="00237E6F"/>
    <w:rsid w:val="002409C2"/>
    <w:rsid w:val="00240B5C"/>
    <w:rsid w:val="00243362"/>
    <w:rsid w:val="0024457C"/>
    <w:rsid w:val="002457E8"/>
    <w:rsid w:val="002533BC"/>
    <w:rsid w:val="0025582E"/>
    <w:rsid w:val="002645F4"/>
    <w:rsid w:val="00264F8D"/>
    <w:rsid w:val="002659FD"/>
    <w:rsid w:val="00276F67"/>
    <w:rsid w:val="0028016F"/>
    <w:rsid w:val="00280AB8"/>
    <w:rsid w:val="00281001"/>
    <w:rsid w:val="0028239C"/>
    <w:rsid w:val="00285DF7"/>
    <w:rsid w:val="00287761"/>
    <w:rsid w:val="0029024C"/>
    <w:rsid w:val="00290FFA"/>
    <w:rsid w:val="0029266D"/>
    <w:rsid w:val="002928D1"/>
    <w:rsid w:val="00293A19"/>
    <w:rsid w:val="00293CE3"/>
    <w:rsid w:val="002946DC"/>
    <w:rsid w:val="00294857"/>
    <w:rsid w:val="0029557A"/>
    <w:rsid w:val="0029582B"/>
    <w:rsid w:val="002A2483"/>
    <w:rsid w:val="002A6956"/>
    <w:rsid w:val="002B541A"/>
    <w:rsid w:val="002B5E14"/>
    <w:rsid w:val="002B7826"/>
    <w:rsid w:val="002C1012"/>
    <w:rsid w:val="002C3AEB"/>
    <w:rsid w:val="002C5E0A"/>
    <w:rsid w:val="002D02F9"/>
    <w:rsid w:val="002D2948"/>
    <w:rsid w:val="002D3CEE"/>
    <w:rsid w:val="002D414C"/>
    <w:rsid w:val="002D4E1B"/>
    <w:rsid w:val="002D668F"/>
    <w:rsid w:val="002E11ED"/>
    <w:rsid w:val="002E1B37"/>
    <w:rsid w:val="002E3C89"/>
    <w:rsid w:val="002E3FAA"/>
    <w:rsid w:val="002E40E5"/>
    <w:rsid w:val="002E46FD"/>
    <w:rsid w:val="002E4EAB"/>
    <w:rsid w:val="002E6446"/>
    <w:rsid w:val="002E7E25"/>
    <w:rsid w:val="002F03E7"/>
    <w:rsid w:val="002F3894"/>
    <w:rsid w:val="002F5180"/>
    <w:rsid w:val="002F657A"/>
    <w:rsid w:val="002F7D51"/>
    <w:rsid w:val="00303665"/>
    <w:rsid w:val="00303B7F"/>
    <w:rsid w:val="0030590F"/>
    <w:rsid w:val="00305FF9"/>
    <w:rsid w:val="003101C5"/>
    <w:rsid w:val="0031114F"/>
    <w:rsid w:val="003131CD"/>
    <w:rsid w:val="00313F3B"/>
    <w:rsid w:val="00315BDC"/>
    <w:rsid w:val="00324F64"/>
    <w:rsid w:val="00325056"/>
    <w:rsid w:val="0032702C"/>
    <w:rsid w:val="00331742"/>
    <w:rsid w:val="003328C1"/>
    <w:rsid w:val="00336097"/>
    <w:rsid w:val="00336EC0"/>
    <w:rsid w:val="00345AF1"/>
    <w:rsid w:val="003472FB"/>
    <w:rsid w:val="00350721"/>
    <w:rsid w:val="003519BD"/>
    <w:rsid w:val="0035569E"/>
    <w:rsid w:val="00357B45"/>
    <w:rsid w:val="003609D2"/>
    <w:rsid w:val="00361BBD"/>
    <w:rsid w:val="00362E5B"/>
    <w:rsid w:val="00366673"/>
    <w:rsid w:val="00367554"/>
    <w:rsid w:val="003737CA"/>
    <w:rsid w:val="0037428C"/>
    <w:rsid w:val="003747ED"/>
    <w:rsid w:val="00382F09"/>
    <w:rsid w:val="00385640"/>
    <w:rsid w:val="00392AF2"/>
    <w:rsid w:val="00392DAA"/>
    <w:rsid w:val="00396B50"/>
    <w:rsid w:val="003A6A6F"/>
    <w:rsid w:val="003B3C7E"/>
    <w:rsid w:val="003B47E3"/>
    <w:rsid w:val="003C01E9"/>
    <w:rsid w:val="003D04AE"/>
    <w:rsid w:val="003D3376"/>
    <w:rsid w:val="003D36F2"/>
    <w:rsid w:val="003D5447"/>
    <w:rsid w:val="003D653D"/>
    <w:rsid w:val="003E5205"/>
    <w:rsid w:val="003E6CCE"/>
    <w:rsid w:val="003E7FBE"/>
    <w:rsid w:val="003F069D"/>
    <w:rsid w:val="003F2D60"/>
    <w:rsid w:val="003F43F2"/>
    <w:rsid w:val="003F62AE"/>
    <w:rsid w:val="00400A7E"/>
    <w:rsid w:val="004037C9"/>
    <w:rsid w:val="004070B0"/>
    <w:rsid w:val="00407B1F"/>
    <w:rsid w:val="004129DD"/>
    <w:rsid w:val="00412F7E"/>
    <w:rsid w:val="00414885"/>
    <w:rsid w:val="004157E8"/>
    <w:rsid w:val="00415DCC"/>
    <w:rsid w:val="004222A8"/>
    <w:rsid w:val="004262E7"/>
    <w:rsid w:val="00426FDD"/>
    <w:rsid w:val="00427DDA"/>
    <w:rsid w:val="00432214"/>
    <w:rsid w:val="00432641"/>
    <w:rsid w:val="00435094"/>
    <w:rsid w:val="00435BB5"/>
    <w:rsid w:val="00441ABA"/>
    <w:rsid w:val="00446D27"/>
    <w:rsid w:val="0045056C"/>
    <w:rsid w:val="00453963"/>
    <w:rsid w:val="0045505A"/>
    <w:rsid w:val="004607F0"/>
    <w:rsid w:val="004613C4"/>
    <w:rsid w:val="00462927"/>
    <w:rsid w:val="00464F83"/>
    <w:rsid w:val="00465FA2"/>
    <w:rsid w:val="004714E3"/>
    <w:rsid w:val="00475E9F"/>
    <w:rsid w:val="00481669"/>
    <w:rsid w:val="0048416D"/>
    <w:rsid w:val="00485F6C"/>
    <w:rsid w:val="0049016B"/>
    <w:rsid w:val="004908EE"/>
    <w:rsid w:val="00497BDA"/>
    <w:rsid w:val="004A182F"/>
    <w:rsid w:val="004A3834"/>
    <w:rsid w:val="004A3B78"/>
    <w:rsid w:val="004A440D"/>
    <w:rsid w:val="004A53E4"/>
    <w:rsid w:val="004A6B94"/>
    <w:rsid w:val="004A771B"/>
    <w:rsid w:val="004B1CFB"/>
    <w:rsid w:val="004B76E4"/>
    <w:rsid w:val="004C6C45"/>
    <w:rsid w:val="004D017D"/>
    <w:rsid w:val="004D5EBE"/>
    <w:rsid w:val="004D60C9"/>
    <w:rsid w:val="004D77C9"/>
    <w:rsid w:val="004D79C2"/>
    <w:rsid w:val="004E02E1"/>
    <w:rsid w:val="004E0652"/>
    <w:rsid w:val="004E0899"/>
    <w:rsid w:val="004E0B59"/>
    <w:rsid w:val="004E14B4"/>
    <w:rsid w:val="004E5BE9"/>
    <w:rsid w:val="004F1E9F"/>
    <w:rsid w:val="004F2929"/>
    <w:rsid w:val="004F3241"/>
    <w:rsid w:val="004F3335"/>
    <w:rsid w:val="004F7D31"/>
    <w:rsid w:val="004F7E29"/>
    <w:rsid w:val="00500852"/>
    <w:rsid w:val="0050233D"/>
    <w:rsid w:val="005023CA"/>
    <w:rsid w:val="00503754"/>
    <w:rsid w:val="00503860"/>
    <w:rsid w:val="0050681D"/>
    <w:rsid w:val="00510B79"/>
    <w:rsid w:val="00515891"/>
    <w:rsid w:val="00515A55"/>
    <w:rsid w:val="0052101C"/>
    <w:rsid w:val="0052213A"/>
    <w:rsid w:val="0052355B"/>
    <w:rsid w:val="00524983"/>
    <w:rsid w:val="00524BD3"/>
    <w:rsid w:val="005345EB"/>
    <w:rsid w:val="0053604F"/>
    <w:rsid w:val="00536FFC"/>
    <w:rsid w:val="0054143E"/>
    <w:rsid w:val="00552942"/>
    <w:rsid w:val="00557E1B"/>
    <w:rsid w:val="0056024B"/>
    <w:rsid w:val="00563F49"/>
    <w:rsid w:val="00565DAA"/>
    <w:rsid w:val="0056787B"/>
    <w:rsid w:val="005729C3"/>
    <w:rsid w:val="005742A2"/>
    <w:rsid w:val="00574311"/>
    <w:rsid w:val="00575739"/>
    <w:rsid w:val="00577A67"/>
    <w:rsid w:val="005801DA"/>
    <w:rsid w:val="00584331"/>
    <w:rsid w:val="00584FF6"/>
    <w:rsid w:val="00590C91"/>
    <w:rsid w:val="00590D6B"/>
    <w:rsid w:val="005A08A3"/>
    <w:rsid w:val="005A2228"/>
    <w:rsid w:val="005A3DEE"/>
    <w:rsid w:val="005A510C"/>
    <w:rsid w:val="005A56C6"/>
    <w:rsid w:val="005A5EBA"/>
    <w:rsid w:val="005A600F"/>
    <w:rsid w:val="005A650B"/>
    <w:rsid w:val="005B688F"/>
    <w:rsid w:val="005C0723"/>
    <w:rsid w:val="005C51A8"/>
    <w:rsid w:val="005D4511"/>
    <w:rsid w:val="005D4A07"/>
    <w:rsid w:val="005D5502"/>
    <w:rsid w:val="005E00BA"/>
    <w:rsid w:val="005E17CD"/>
    <w:rsid w:val="005E454E"/>
    <w:rsid w:val="005E4936"/>
    <w:rsid w:val="005E5AF8"/>
    <w:rsid w:val="005F2ECC"/>
    <w:rsid w:val="005F3625"/>
    <w:rsid w:val="005F6241"/>
    <w:rsid w:val="0060281D"/>
    <w:rsid w:val="006043B0"/>
    <w:rsid w:val="006061B9"/>
    <w:rsid w:val="006062CF"/>
    <w:rsid w:val="00607913"/>
    <w:rsid w:val="00607B4B"/>
    <w:rsid w:val="00610F64"/>
    <w:rsid w:val="006157CC"/>
    <w:rsid w:val="00616BB2"/>
    <w:rsid w:val="00616C83"/>
    <w:rsid w:val="00617900"/>
    <w:rsid w:val="00621653"/>
    <w:rsid w:val="0062349F"/>
    <w:rsid w:val="006307FE"/>
    <w:rsid w:val="00631479"/>
    <w:rsid w:val="00636E3B"/>
    <w:rsid w:val="00637270"/>
    <w:rsid w:val="006376C8"/>
    <w:rsid w:val="00641958"/>
    <w:rsid w:val="00641D46"/>
    <w:rsid w:val="00642070"/>
    <w:rsid w:val="00645146"/>
    <w:rsid w:val="00650F3E"/>
    <w:rsid w:val="00652288"/>
    <w:rsid w:val="006543CB"/>
    <w:rsid w:val="006544E4"/>
    <w:rsid w:val="0065688E"/>
    <w:rsid w:val="00657D0D"/>
    <w:rsid w:val="00662326"/>
    <w:rsid w:val="00664055"/>
    <w:rsid w:val="006669E0"/>
    <w:rsid w:val="00666D54"/>
    <w:rsid w:val="0066772E"/>
    <w:rsid w:val="00672D84"/>
    <w:rsid w:val="0067482F"/>
    <w:rsid w:val="006820E2"/>
    <w:rsid w:val="00683D4E"/>
    <w:rsid w:val="00686A11"/>
    <w:rsid w:val="006900B4"/>
    <w:rsid w:val="00692CD0"/>
    <w:rsid w:val="00693F50"/>
    <w:rsid w:val="006951CE"/>
    <w:rsid w:val="00695DDE"/>
    <w:rsid w:val="006A0954"/>
    <w:rsid w:val="006A4055"/>
    <w:rsid w:val="006A52BB"/>
    <w:rsid w:val="006A57D5"/>
    <w:rsid w:val="006A5D33"/>
    <w:rsid w:val="006A5DA0"/>
    <w:rsid w:val="006B3F37"/>
    <w:rsid w:val="006B6099"/>
    <w:rsid w:val="006B64A7"/>
    <w:rsid w:val="006B6632"/>
    <w:rsid w:val="006C0CED"/>
    <w:rsid w:val="006C3499"/>
    <w:rsid w:val="006D1A50"/>
    <w:rsid w:val="006D7799"/>
    <w:rsid w:val="006E27BD"/>
    <w:rsid w:val="006E2A50"/>
    <w:rsid w:val="006E4BBF"/>
    <w:rsid w:val="006E53DD"/>
    <w:rsid w:val="006E6116"/>
    <w:rsid w:val="006E6431"/>
    <w:rsid w:val="006F03AC"/>
    <w:rsid w:val="006F0E40"/>
    <w:rsid w:val="006F113F"/>
    <w:rsid w:val="006F1C4C"/>
    <w:rsid w:val="006F24EB"/>
    <w:rsid w:val="006F261F"/>
    <w:rsid w:val="006F3A27"/>
    <w:rsid w:val="006F4307"/>
    <w:rsid w:val="006F547E"/>
    <w:rsid w:val="00701A5D"/>
    <w:rsid w:val="00701F67"/>
    <w:rsid w:val="00702748"/>
    <w:rsid w:val="007057FF"/>
    <w:rsid w:val="007066AE"/>
    <w:rsid w:val="007066E1"/>
    <w:rsid w:val="007076A1"/>
    <w:rsid w:val="007078D9"/>
    <w:rsid w:val="00711C1C"/>
    <w:rsid w:val="00716EA4"/>
    <w:rsid w:val="00722EA5"/>
    <w:rsid w:val="0072368E"/>
    <w:rsid w:val="0072414A"/>
    <w:rsid w:val="007301B3"/>
    <w:rsid w:val="0073260B"/>
    <w:rsid w:val="00733368"/>
    <w:rsid w:val="00733DD0"/>
    <w:rsid w:val="00734357"/>
    <w:rsid w:val="007363FC"/>
    <w:rsid w:val="00736822"/>
    <w:rsid w:val="00740C93"/>
    <w:rsid w:val="00741437"/>
    <w:rsid w:val="00742FB6"/>
    <w:rsid w:val="007468DC"/>
    <w:rsid w:val="007470DE"/>
    <w:rsid w:val="00747ABD"/>
    <w:rsid w:val="007524A7"/>
    <w:rsid w:val="00755129"/>
    <w:rsid w:val="007609F7"/>
    <w:rsid w:val="00761B21"/>
    <w:rsid w:val="00763091"/>
    <w:rsid w:val="007679AB"/>
    <w:rsid w:val="00770689"/>
    <w:rsid w:val="0077208B"/>
    <w:rsid w:val="00772330"/>
    <w:rsid w:val="00773932"/>
    <w:rsid w:val="007763CA"/>
    <w:rsid w:val="00776A95"/>
    <w:rsid w:val="00777709"/>
    <w:rsid w:val="007819C6"/>
    <w:rsid w:val="00786058"/>
    <w:rsid w:val="00790D29"/>
    <w:rsid w:val="00793403"/>
    <w:rsid w:val="0079413D"/>
    <w:rsid w:val="00795CF1"/>
    <w:rsid w:val="00797781"/>
    <w:rsid w:val="00797F37"/>
    <w:rsid w:val="007A15F2"/>
    <w:rsid w:val="007A2FD3"/>
    <w:rsid w:val="007A3AC0"/>
    <w:rsid w:val="007A43DD"/>
    <w:rsid w:val="007A6535"/>
    <w:rsid w:val="007B1A8F"/>
    <w:rsid w:val="007B1EBA"/>
    <w:rsid w:val="007B44D8"/>
    <w:rsid w:val="007B4C1A"/>
    <w:rsid w:val="007C03B1"/>
    <w:rsid w:val="007C39FD"/>
    <w:rsid w:val="007C3B4A"/>
    <w:rsid w:val="007C5443"/>
    <w:rsid w:val="007C646F"/>
    <w:rsid w:val="007C7625"/>
    <w:rsid w:val="007D35E5"/>
    <w:rsid w:val="007D3E06"/>
    <w:rsid w:val="007D6EC2"/>
    <w:rsid w:val="007D77D4"/>
    <w:rsid w:val="007E02B3"/>
    <w:rsid w:val="007E0EAF"/>
    <w:rsid w:val="007E6240"/>
    <w:rsid w:val="007F171C"/>
    <w:rsid w:val="007F2905"/>
    <w:rsid w:val="007F5FAB"/>
    <w:rsid w:val="007F6753"/>
    <w:rsid w:val="007F6BEC"/>
    <w:rsid w:val="007F701D"/>
    <w:rsid w:val="00800EB0"/>
    <w:rsid w:val="00810E2B"/>
    <w:rsid w:val="008121F9"/>
    <w:rsid w:val="00812B97"/>
    <w:rsid w:val="00814A78"/>
    <w:rsid w:val="0081516F"/>
    <w:rsid w:val="008179CE"/>
    <w:rsid w:val="00817D7B"/>
    <w:rsid w:val="00820AC5"/>
    <w:rsid w:val="008218C0"/>
    <w:rsid w:val="008219B6"/>
    <w:rsid w:val="00823463"/>
    <w:rsid w:val="00831127"/>
    <w:rsid w:val="00831A00"/>
    <w:rsid w:val="00832ECF"/>
    <w:rsid w:val="00836A5A"/>
    <w:rsid w:val="00837884"/>
    <w:rsid w:val="00840817"/>
    <w:rsid w:val="00841910"/>
    <w:rsid w:val="00845840"/>
    <w:rsid w:val="00851DBF"/>
    <w:rsid w:val="00856C70"/>
    <w:rsid w:val="008572EB"/>
    <w:rsid w:val="00857603"/>
    <w:rsid w:val="00860754"/>
    <w:rsid w:val="00860D41"/>
    <w:rsid w:val="00865055"/>
    <w:rsid w:val="008654C3"/>
    <w:rsid w:val="00865556"/>
    <w:rsid w:val="00876650"/>
    <w:rsid w:val="00876B00"/>
    <w:rsid w:val="008803E3"/>
    <w:rsid w:val="008818D6"/>
    <w:rsid w:val="00881D04"/>
    <w:rsid w:val="00882D2A"/>
    <w:rsid w:val="00882DDD"/>
    <w:rsid w:val="00884153"/>
    <w:rsid w:val="008904DD"/>
    <w:rsid w:val="00891026"/>
    <w:rsid w:val="00891819"/>
    <w:rsid w:val="00891B9A"/>
    <w:rsid w:val="00895391"/>
    <w:rsid w:val="008A2D0A"/>
    <w:rsid w:val="008A5F82"/>
    <w:rsid w:val="008B101C"/>
    <w:rsid w:val="008B16DC"/>
    <w:rsid w:val="008B375A"/>
    <w:rsid w:val="008B465F"/>
    <w:rsid w:val="008B7218"/>
    <w:rsid w:val="008C1964"/>
    <w:rsid w:val="008C37AD"/>
    <w:rsid w:val="008C3E57"/>
    <w:rsid w:val="008C483E"/>
    <w:rsid w:val="008D006F"/>
    <w:rsid w:val="008D3840"/>
    <w:rsid w:val="008D4AD4"/>
    <w:rsid w:val="008D4ECD"/>
    <w:rsid w:val="008D5206"/>
    <w:rsid w:val="008E03BC"/>
    <w:rsid w:val="008E15CA"/>
    <w:rsid w:val="008E18F6"/>
    <w:rsid w:val="008E4DF5"/>
    <w:rsid w:val="008E79D0"/>
    <w:rsid w:val="008F1B98"/>
    <w:rsid w:val="008F24C7"/>
    <w:rsid w:val="008F3272"/>
    <w:rsid w:val="008F6661"/>
    <w:rsid w:val="008F7C11"/>
    <w:rsid w:val="00903F58"/>
    <w:rsid w:val="00914093"/>
    <w:rsid w:val="009172B6"/>
    <w:rsid w:val="00917938"/>
    <w:rsid w:val="00917DD2"/>
    <w:rsid w:val="009221C2"/>
    <w:rsid w:val="00926B60"/>
    <w:rsid w:val="00931ECD"/>
    <w:rsid w:val="00936F69"/>
    <w:rsid w:val="0094160C"/>
    <w:rsid w:val="00941F9A"/>
    <w:rsid w:val="00944662"/>
    <w:rsid w:val="00945205"/>
    <w:rsid w:val="0094658D"/>
    <w:rsid w:val="009540E8"/>
    <w:rsid w:val="009554BE"/>
    <w:rsid w:val="009558D0"/>
    <w:rsid w:val="00963123"/>
    <w:rsid w:val="0096410F"/>
    <w:rsid w:val="00964CA0"/>
    <w:rsid w:val="0097320C"/>
    <w:rsid w:val="0097711B"/>
    <w:rsid w:val="00981431"/>
    <w:rsid w:val="00981F82"/>
    <w:rsid w:val="00984DAB"/>
    <w:rsid w:val="0098604C"/>
    <w:rsid w:val="009864BE"/>
    <w:rsid w:val="009871E1"/>
    <w:rsid w:val="00987EFC"/>
    <w:rsid w:val="0099153E"/>
    <w:rsid w:val="00991661"/>
    <w:rsid w:val="00994039"/>
    <w:rsid w:val="00994AC7"/>
    <w:rsid w:val="00997B89"/>
    <w:rsid w:val="009A0FDA"/>
    <w:rsid w:val="009A1F37"/>
    <w:rsid w:val="009A3208"/>
    <w:rsid w:val="009A5C18"/>
    <w:rsid w:val="009A7B32"/>
    <w:rsid w:val="009B025B"/>
    <w:rsid w:val="009B4FBA"/>
    <w:rsid w:val="009B6CFB"/>
    <w:rsid w:val="009C0628"/>
    <w:rsid w:val="009C19EB"/>
    <w:rsid w:val="009C2262"/>
    <w:rsid w:val="009C774B"/>
    <w:rsid w:val="009D2659"/>
    <w:rsid w:val="009D4920"/>
    <w:rsid w:val="009D493D"/>
    <w:rsid w:val="009D704C"/>
    <w:rsid w:val="009E31CD"/>
    <w:rsid w:val="009E4E95"/>
    <w:rsid w:val="009E5291"/>
    <w:rsid w:val="009E5B85"/>
    <w:rsid w:val="009E6B8B"/>
    <w:rsid w:val="009E7FF3"/>
    <w:rsid w:val="009F1890"/>
    <w:rsid w:val="009F66CA"/>
    <w:rsid w:val="009F7D3D"/>
    <w:rsid w:val="00A01334"/>
    <w:rsid w:val="00A01DCB"/>
    <w:rsid w:val="00A03DEA"/>
    <w:rsid w:val="00A11C0B"/>
    <w:rsid w:val="00A1236D"/>
    <w:rsid w:val="00A130BE"/>
    <w:rsid w:val="00A1364C"/>
    <w:rsid w:val="00A15D35"/>
    <w:rsid w:val="00A16084"/>
    <w:rsid w:val="00A17980"/>
    <w:rsid w:val="00A179C4"/>
    <w:rsid w:val="00A2046B"/>
    <w:rsid w:val="00A206DF"/>
    <w:rsid w:val="00A21F5E"/>
    <w:rsid w:val="00A24D87"/>
    <w:rsid w:val="00A276BC"/>
    <w:rsid w:val="00A30CD3"/>
    <w:rsid w:val="00A325DE"/>
    <w:rsid w:val="00A33B8F"/>
    <w:rsid w:val="00A357FA"/>
    <w:rsid w:val="00A36B57"/>
    <w:rsid w:val="00A44DA5"/>
    <w:rsid w:val="00A4592D"/>
    <w:rsid w:val="00A46FBE"/>
    <w:rsid w:val="00A47AC8"/>
    <w:rsid w:val="00A51B2F"/>
    <w:rsid w:val="00A52907"/>
    <w:rsid w:val="00A54A94"/>
    <w:rsid w:val="00A5577C"/>
    <w:rsid w:val="00A56258"/>
    <w:rsid w:val="00A57150"/>
    <w:rsid w:val="00A576BE"/>
    <w:rsid w:val="00A60FD5"/>
    <w:rsid w:val="00A63D19"/>
    <w:rsid w:val="00A65030"/>
    <w:rsid w:val="00A65153"/>
    <w:rsid w:val="00A66243"/>
    <w:rsid w:val="00A66C36"/>
    <w:rsid w:val="00A66CC8"/>
    <w:rsid w:val="00A7127D"/>
    <w:rsid w:val="00A719E9"/>
    <w:rsid w:val="00A75243"/>
    <w:rsid w:val="00A752ED"/>
    <w:rsid w:val="00A7709E"/>
    <w:rsid w:val="00A8147A"/>
    <w:rsid w:val="00A85B5E"/>
    <w:rsid w:val="00A872BF"/>
    <w:rsid w:val="00A875BE"/>
    <w:rsid w:val="00A9050E"/>
    <w:rsid w:val="00AA0B5E"/>
    <w:rsid w:val="00AA14CA"/>
    <w:rsid w:val="00AA23D2"/>
    <w:rsid w:val="00AA606A"/>
    <w:rsid w:val="00AA6456"/>
    <w:rsid w:val="00AA6889"/>
    <w:rsid w:val="00AA7B93"/>
    <w:rsid w:val="00AC273B"/>
    <w:rsid w:val="00AC2FB5"/>
    <w:rsid w:val="00AD10E3"/>
    <w:rsid w:val="00AD1F5F"/>
    <w:rsid w:val="00AD26C3"/>
    <w:rsid w:val="00AD6153"/>
    <w:rsid w:val="00AE1BA6"/>
    <w:rsid w:val="00AE2C5E"/>
    <w:rsid w:val="00AE3601"/>
    <w:rsid w:val="00AE371B"/>
    <w:rsid w:val="00AE477D"/>
    <w:rsid w:val="00AE4B21"/>
    <w:rsid w:val="00AF40A2"/>
    <w:rsid w:val="00AF5B8F"/>
    <w:rsid w:val="00AF7458"/>
    <w:rsid w:val="00AF7AD1"/>
    <w:rsid w:val="00AF7FF8"/>
    <w:rsid w:val="00B00AC4"/>
    <w:rsid w:val="00B0298D"/>
    <w:rsid w:val="00B03FD9"/>
    <w:rsid w:val="00B0636C"/>
    <w:rsid w:val="00B13043"/>
    <w:rsid w:val="00B13C4A"/>
    <w:rsid w:val="00B13D85"/>
    <w:rsid w:val="00B24789"/>
    <w:rsid w:val="00B265C7"/>
    <w:rsid w:val="00B268DC"/>
    <w:rsid w:val="00B277BF"/>
    <w:rsid w:val="00B309B5"/>
    <w:rsid w:val="00B3210D"/>
    <w:rsid w:val="00B3421F"/>
    <w:rsid w:val="00B42905"/>
    <w:rsid w:val="00B4315E"/>
    <w:rsid w:val="00B44334"/>
    <w:rsid w:val="00B44493"/>
    <w:rsid w:val="00B44AD0"/>
    <w:rsid w:val="00B469DE"/>
    <w:rsid w:val="00B4798B"/>
    <w:rsid w:val="00B47A39"/>
    <w:rsid w:val="00B47C0F"/>
    <w:rsid w:val="00B5281A"/>
    <w:rsid w:val="00B533AD"/>
    <w:rsid w:val="00B60003"/>
    <w:rsid w:val="00B63D8F"/>
    <w:rsid w:val="00B65782"/>
    <w:rsid w:val="00B664B4"/>
    <w:rsid w:val="00B70414"/>
    <w:rsid w:val="00B73341"/>
    <w:rsid w:val="00B75670"/>
    <w:rsid w:val="00B760EC"/>
    <w:rsid w:val="00B85950"/>
    <w:rsid w:val="00B85FBB"/>
    <w:rsid w:val="00B956A8"/>
    <w:rsid w:val="00B96431"/>
    <w:rsid w:val="00BA0DFE"/>
    <w:rsid w:val="00BA7CD6"/>
    <w:rsid w:val="00BB11A5"/>
    <w:rsid w:val="00BB1AFF"/>
    <w:rsid w:val="00BB4DEA"/>
    <w:rsid w:val="00BB6A70"/>
    <w:rsid w:val="00BC24D6"/>
    <w:rsid w:val="00BC4EA9"/>
    <w:rsid w:val="00BD4A7B"/>
    <w:rsid w:val="00BD6C99"/>
    <w:rsid w:val="00BE01B8"/>
    <w:rsid w:val="00BE466F"/>
    <w:rsid w:val="00BE6CCF"/>
    <w:rsid w:val="00BF0108"/>
    <w:rsid w:val="00BF114B"/>
    <w:rsid w:val="00BF19E2"/>
    <w:rsid w:val="00BF47CC"/>
    <w:rsid w:val="00BF5537"/>
    <w:rsid w:val="00C00860"/>
    <w:rsid w:val="00C02178"/>
    <w:rsid w:val="00C0238D"/>
    <w:rsid w:val="00C034A8"/>
    <w:rsid w:val="00C04422"/>
    <w:rsid w:val="00C04B78"/>
    <w:rsid w:val="00C11617"/>
    <w:rsid w:val="00C118CB"/>
    <w:rsid w:val="00C11C90"/>
    <w:rsid w:val="00C1333B"/>
    <w:rsid w:val="00C14A60"/>
    <w:rsid w:val="00C1572D"/>
    <w:rsid w:val="00C164BE"/>
    <w:rsid w:val="00C16726"/>
    <w:rsid w:val="00C16CC0"/>
    <w:rsid w:val="00C17402"/>
    <w:rsid w:val="00C229A9"/>
    <w:rsid w:val="00C264CF"/>
    <w:rsid w:val="00C27F1B"/>
    <w:rsid w:val="00C30FC4"/>
    <w:rsid w:val="00C314E9"/>
    <w:rsid w:val="00C329C7"/>
    <w:rsid w:val="00C3693C"/>
    <w:rsid w:val="00C42094"/>
    <w:rsid w:val="00C5057C"/>
    <w:rsid w:val="00C52C81"/>
    <w:rsid w:val="00C53797"/>
    <w:rsid w:val="00C538C8"/>
    <w:rsid w:val="00C53E1D"/>
    <w:rsid w:val="00C60218"/>
    <w:rsid w:val="00C63A3C"/>
    <w:rsid w:val="00C63B11"/>
    <w:rsid w:val="00C6402D"/>
    <w:rsid w:val="00C7481D"/>
    <w:rsid w:val="00C74E26"/>
    <w:rsid w:val="00C752E2"/>
    <w:rsid w:val="00C7677C"/>
    <w:rsid w:val="00C83B4D"/>
    <w:rsid w:val="00C83ED9"/>
    <w:rsid w:val="00C8472C"/>
    <w:rsid w:val="00C855BF"/>
    <w:rsid w:val="00C864B2"/>
    <w:rsid w:val="00C9418C"/>
    <w:rsid w:val="00C95CE0"/>
    <w:rsid w:val="00C96A31"/>
    <w:rsid w:val="00CA20EB"/>
    <w:rsid w:val="00CA3F3C"/>
    <w:rsid w:val="00CA4963"/>
    <w:rsid w:val="00CA638B"/>
    <w:rsid w:val="00CA7D83"/>
    <w:rsid w:val="00CB26E3"/>
    <w:rsid w:val="00CB2E09"/>
    <w:rsid w:val="00CB4CBA"/>
    <w:rsid w:val="00CC1E77"/>
    <w:rsid w:val="00CC28B2"/>
    <w:rsid w:val="00CC30D3"/>
    <w:rsid w:val="00CC4835"/>
    <w:rsid w:val="00CC6C3C"/>
    <w:rsid w:val="00CC7A50"/>
    <w:rsid w:val="00CD5F6C"/>
    <w:rsid w:val="00CD7F41"/>
    <w:rsid w:val="00CE4168"/>
    <w:rsid w:val="00CF3346"/>
    <w:rsid w:val="00CF5250"/>
    <w:rsid w:val="00CF5EFE"/>
    <w:rsid w:val="00CF6E6B"/>
    <w:rsid w:val="00D023A3"/>
    <w:rsid w:val="00D06B13"/>
    <w:rsid w:val="00D075CA"/>
    <w:rsid w:val="00D126BC"/>
    <w:rsid w:val="00D14FD7"/>
    <w:rsid w:val="00D20E4F"/>
    <w:rsid w:val="00D21F2F"/>
    <w:rsid w:val="00D2249C"/>
    <w:rsid w:val="00D23F2B"/>
    <w:rsid w:val="00D25FEF"/>
    <w:rsid w:val="00D3214F"/>
    <w:rsid w:val="00D33678"/>
    <w:rsid w:val="00D404CE"/>
    <w:rsid w:val="00D41B28"/>
    <w:rsid w:val="00D42471"/>
    <w:rsid w:val="00D433F9"/>
    <w:rsid w:val="00D43761"/>
    <w:rsid w:val="00D4405D"/>
    <w:rsid w:val="00D443D4"/>
    <w:rsid w:val="00D44E01"/>
    <w:rsid w:val="00D44E2D"/>
    <w:rsid w:val="00D45614"/>
    <w:rsid w:val="00D46ADA"/>
    <w:rsid w:val="00D51071"/>
    <w:rsid w:val="00D522E1"/>
    <w:rsid w:val="00D548F8"/>
    <w:rsid w:val="00D54D0A"/>
    <w:rsid w:val="00D57983"/>
    <w:rsid w:val="00D61E7F"/>
    <w:rsid w:val="00D63080"/>
    <w:rsid w:val="00D73021"/>
    <w:rsid w:val="00D737BD"/>
    <w:rsid w:val="00D77BE2"/>
    <w:rsid w:val="00D8130C"/>
    <w:rsid w:val="00D82BAC"/>
    <w:rsid w:val="00D8456C"/>
    <w:rsid w:val="00D90E00"/>
    <w:rsid w:val="00D92222"/>
    <w:rsid w:val="00D93FA0"/>
    <w:rsid w:val="00D94443"/>
    <w:rsid w:val="00D94A69"/>
    <w:rsid w:val="00D979B7"/>
    <w:rsid w:val="00DA0576"/>
    <w:rsid w:val="00DA2329"/>
    <w:rsid w:val="00DA7B0F"/>
    <w:rsid w:val="00DB1E17"/>
    <w:rsid w:val="00DB1FA7"/>
    <w:rsid w:val="00DB545C"/>
    <w:rsid w:val="00DC440D"/>
    <w:rsid w:val="00DC4C44"/>
    <w:rsid w:val="00DD000F"/>
    <w:rsid w:val="00DD0349"/>
    <w:rsid w:val="00DD242B"/>
    <w:rsid w:val="00DD3F42"/>
    <w:rsid w:val="00DD4F7A"/>
    <w:rsid w:val="00DD4FEB"/>
    <w:rsid w:val="00DE5E9C"/>
    <w:rsid w:val="00DF2A47"/>
    <w:rsid w:val="00DF47D8"/>
    <w:rsid w:val="00DF578C"/>
    <w:rsid w:val="00DF7704"/>
    <w:rsid w:val="00E00CAE"/>
    <w:rsid w:val="00E0195D"/>
    <w:rsid w:val="00E0376A"/>
    <w:rsid w:val="00E04D0F"/>
    <w:rsid w:val="00E05D08"/>
    <w:rsid w:val="00E072B0"/>
    <w:rsid w:val="00E10B31"/>
    <w:rsid w:val="00E12B5E"/>
    <w:rsid w:val="00E13599"/>
    <w:rsid w:val="00E14E3A"/>
    <w:rsid w:val="00E15992"/>
    <w:rsid w:val="00E16B0D"/>
    <w:rsid w:val="00E174FA"/>
    <w:rsid w:val="00E200EF"/>
    <w:rsid w:val="00E20183"/>
    <w:rsid w:val="00E21766"/>
    <w:rsid w:val="00E2297D"/>
    <w:rsid w:val="00E238CF"/>
    <w:rsid w:val="00E260CA"/>
    <w:rsid w:val="00E30906"/>
    <w:rsid w:val="00E30B79"/>
    <w:rsid w:val="00E322A2"/>
    <w:rsid w:val="00E329EC"/>
    <w:rsid w:val="00E33623"/>
    <w:rsid w:val="00E36707"/>
    <w:rsid w:val="00E411C0"/>
    <w:rsid w:val="00E43713"/>
    <w:rsid w:val="00E44ED2"/>
    <w:rsid w:val="00E450CD"/>
    <w:rsid w:val="00E4517F"/>
    <w:rsid w:val="00E561D9"/>
    <w:rsid w:val="00E61E2F"/>
    <w:rsid w:val="00E62A68"/>
    <w:rsid w:val="00E62AD3"/>
    <w:rsid w:val="00E666F7"/>
    <w:rsid w:val="00E71606"/>
    <w:rsid w:val="00E718FA"/>
    <w:rsid w:val="00E769C5"/>
    <w:rsid w:val="00E802BE"/>
    <w:rsid w:val="00E82091"/>
    <w:rsid w:val="00E853BF"/>
    <w:rsid w:val="00E908F7"/>
    <w:rsid w:val="00E913A4"/>
    <w:rsid w:val="00E92440"/>
    <w:rsid w:val="00E94FAB"/>
    <w:rsid w:val="00E967C1"/>
    <w:rsid w:val="00EA08A2"/>
    <w:rsid w:val="00EA2402"/>
    <w:rsid w:val="00EA6D38"/>
    <w:rsid w:val="00EA6DB6"/>
    <w:rsid w:val="00EB47EE"/>
    <w:rsid w:val="00EB4B4D"/>
    <w:rsid w:val="00EB51C3"/>
    <w:rsid w:val="00EB5ED9"/>
    <w:rsid w:val="00EB7BD0"/>
    <w:rsid w:val="00EC35BF"/>
    <w:rsid w:val="00EC3BAA"/>
    <w:rsid w:val="00EC4062"/>
    <w:rsid w:val="00EC6650"/>
    <w:rsid w:val="00EC7492"/>
    <w:rsid w:val="00ED6138"/>
    <w:rsid w:val="00EE1D7F"/>
    <w:rsid w:val="00EE4A71"/>
    <w:rsid w:val="00EE74EF"/>
    <w:rsid w:val="00EF23F9"/>
    <w:rsid w:val="00EF32A2"/>
    <w:rsid w:val="00EF4EA1"/>
    <w:rsid w:val="00F0091E"/>
    <w:rsid w:val="00F033E6"/>
    <w:rsid w:val="00F100AB"/>
    <w:rsid w:val="00F163DC"/>
    <w:rsid w:val="00F17CEB"/>
    <w:rsid w:val="00F2324D"/>
    <w:rsid w:val="00F23B3E"/>
    <w:rsid w:val="00F26051"/>
    <w:rsid w:val="00F26B77"/>
    <w:rsid w:val="00F30BDE"/>
    <w:rsid w:val="00F321AB"/>
    <w:rsid w:val="00F32847"/>
    <w:rsid w:val="00F33085"/>
    <w:rsid w:val="00F33E7B"/>
    <w:rsid w:val="00F34B41"/>
    <w:rsid w:val="00F36D41"/>
    <w:rsid w:val="00F374BC"/>
    <w:rsid w:val="00F4003B"/>
    <w:rsid w:val="00F41525"/>
    <w:rsid w:val="00F4485A"/>
    <w:rsid w:val="00F45325"/>
    <w:rsid w:val="00F453BB"/>
    <w:rsid w:val="00F473C0"/>
    <w:rsid w:val="00F509C8"/>
    <w:rsid w:val="00F519CE"/>
    <w:rsid w:val="00F51F7D"/>
    <w:rsid w:val="00F52E54"/>
    <w:rsid w:val="00F57DD7"/>
    <w:rsid w:val="00F6209C"/>
    <w:rsid w:val="00F62839"/>
    <w:rsid w:val="00F64064"/>
    <w:rsid w:val="00F649E8"/>
    <w:rsid w:val="00F64B4B"/>
    <w:rsid w:val="00F64FE5"/>
    <w:rsid w:val="00F6605B"/>
    <w:rsid w:val="00F674A1"/>
    <w:rsid w:val="00F72866"/>
    <w:rsid w:val="00F72D4A"/>
    <w:rsid w:val="00F731CC"/>
    <w:rsid w:val="00F74F58"/>
    <w:rsid w:val="00F804BF"/>
    <w:rsid w:val="00F80BFE"/>
    <w:rsid w:val="00F853C3"/>
    <w:rsid w:val="00F8593B"/>
    <w:rsid w:val="00F915BA"/>
    <w:rsid w:val="00F93076"/>
    <w:rsid w:val="00F944B5"/>
    <w:rsid w:val="00F954B6"/>
    <w:rsid w:val="00F9767B"/>
    <w:rsid w:val="00F97FB7"/>
    <w:rsid w:val="00FA00C4"/>
    <w:rsid w:val="00FA17BD"/>
    <w:rsid w:val="00FA1DC4"/>
    <w:rsid w:val="00FB24FE"/>
    <w:rsid w:val="00FB2FE3"/>
    <w:rsid w:val="00FB58AB"/>
    <w:rsid w:val="00FB703D"/>
    <w:rsid w:val="00FB779D"/>
    <w:rsid w:val="00FB7D74"/>
    <w:rsid w:val="00FC117F"/>
    <w:rsid w:val="00FC2854"/>
    <w:rsid w:val="00FC5076"/>
    <w:rsid w:val="00FC53F5"/>
    <w:rsid w:val="00FC61DB"/>
    <w:rsid w:val="00FC6E74"/>
    <w:rsid w:val="00FD4180"/>
    <w:rsid w:val="00FD465C"/>
    <w:rsid w:val="00FE1F74"/>
    <w:rsid w:val="00FE2C80"/>
    <w:rsid w:val="00FE2F12"/>
    <w:rsid w:val="00FE4932"/>
    <w:rsid w:val="00FE5A43"/>
    <w:rsid w:val="00FF5A9C"/>
    <w:rsid w:val="00FF7A5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AE5302"/>
  <w15:chartTrackingRefBased/>
  <w15:docId w15:val="{C1A1B8E0-7B8B-1846-A90F-2A8D82A47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F578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F578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DF578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F578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F578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F578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F578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F578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F578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578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F578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DF578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F578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F578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F578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F578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F578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F578C"/>
    <w:rPr>
      <w:rFonts w:eastAsiaTheme="majorEastAsia" w:cstheme="majorBidi"/>
      <w:color w:val="272727" w:themeColor="text1" w:themeTint="D8"/>
    </w:rPr>
  </w:style>
  <w:style w:type="paragraph" w:styleId="Title">
    <w:name w:val="Title"/>
    <w:basedOn w:val="Normal"/>
    <w:next w:val="Normal"/>
    <w:link w:val="TitleChar"/>
    <w:uiPriority w:val="10"/>
    <w:qFormat/>
    <w:rsid w:val="00DF578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578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F578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F578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F578C"/>
    <w:pPr>
      <w:spacing w:before="160"/>
      <w:jc w:val="center"/>
    </w:pPr>
    <w:rPr>
      <w:i/>
      <w:iCs/>
      <w:color w:val="404040" w:themeColor="text1" w:themeTint="BF"/>
    </w:rPr>
  </w:style>
  <w:style w:type="character" w:customStyle="1" w:styleId="QuoteChar">
    <w:name w:val="Quote Char"/>
    <w:basedOn w:val="DefaultParagraphFont"/>
    <w:link w:val="Quote"/>
    <w:uiPriority w:val="29"/>
    <w:rsid w:val="00DF578C"/>
    <w:rPr>
      <w:i/>
      <w:iCs/>
      <w:color w:val="404040" w:themeColor="text1" w:themeTint="BF"/>
    </w:rPr>
  </w:style>
  <w:style w:type="paragraph" w:styleId="ListParagraph">
    <w:name w:val="List Paragraph"/>
    <w:basedOn w:val="Normal"/>
    <w:uiPriority w:val="34"/>
    <w:qFormat/>
    <w:rsid w:val="00DF578C"/>
    <w:pPr>
      <w:ind w:left="720"/>
      <w:contextualSpacing/>
    </w:pPr>
  </w:style>
  <w:style w:type="character" w:styleId="IntenseEmphasis">
    <w:name w:val="Intense Emphasis"/>
    <w:basedOn w:val="DefaultParagraphFont"/>
    <w:uiPriority w:val="21"/>
    <w:qFormat/>
    <w:rsid w:val="00DF578C"/>
    <w:rPr>
      <w:i/>
      <w:iCs/>
      <w:color w:val="0F4761" w:themeColor="accent1" w:themeShade="BF"/>
    </w:rPr>
  </w:style>
  <w:style w:type="paragraph" w:styleId="IntenseQuote">
    <w:name w:val="Intense Quote"/>
    <w:basedOn w:val="Normal"/>
    <w:next w:val="Normal"/>
    <w:link w:val="IntenseQuoteChar"/>
    <w:uiPriority w:val="30"/>
    <w:qFormat/>
    <w:rsid w:val="00DF578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F578C"/>
    <w:rPr>
      <w:i/>
      <w:iCs/>
      <w:color w:val="0F4761" w:themeColor="accent1" w:themeShade="BF"/>
    </w:rPr>
  </w:style>
  <w:style w:type="character" w:styleId="IntenseReference">
    <w:name w:val="Intense Reference"/>
    <w:basedOn w:val="DefaultParagraphFont"/>
    <w:uiPriority w:val="32"/>
    <w:qFormat/>
    <w:rsid w:val="00DF578C"/>
    <w:rPr>
      <w:b/>
      <w:bCs/>
      <w:smallCaps/>
      <w:color w:val="0F4761" w:themeColor="accent1" w:themeShade="BF"/>
      <w:spacing w:val="5"/>
    </w:rPr>
  </w:style>
  <w:style w:type="paragraph" w:styleId="NormalWeb">
    <w:name w:val="Normal (Web)"/>
    <w:basedOn w:val="Normal"/>
    <w:uiPriority w:val="99"/>
    <w:semiHidden/>
    <w:unhideWhenUsed/>
    <w:rsid w:val="00DF578C"/>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DF578C"/>
    <w:rPr>
      <w:b/>
      <w:bCs/>
    </w:rPr>
  </w:style>
  <w:style w:type="character" w:styleId="Emphasis">
    <w:name w:val="Emphasis"/>
    <w:basedOn w:val="DefaultParagraphFont"/>
    <w:uiPriority w:val="20"/>
    <w:qFormat/>
    <w:rsid w:val="00DF578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100214">
      <w:bodyDiv w:val="1"/>
      <w:marLeft w:val="0"/>
      <w:marRight w:val="0"/>
      <w:marTop w:val="0"/>
      <w:marBottom w:val="0"/>
      <w:divBdr>
        <w:top w:val="none" w:sz="0" w:space="0" w:color="auto"/>
        <w:left w:val="none" w:sz="0" w:space="0" w:color="auto"/>
        <w:bottom w:val="none" w:sz="0" w:space="0" w:color="auto"/>
        <w:right w:val="none" w:sz="0" w:space="0" w:color="auto"/>
      </w:divBdr>
    </w:div>
    <w:div w:id="149373119">
      <w:bodyDiv w:val="1"/>
      <w:marLeft w:val="0"/>
      <w:marRight w:val="0"/>
      <w:marTop w:val="0"/>
      <w:marBottom w:val="0"/>
      <w:divBdr>
        <w:top w:val="none" w:sz="0" w:space="0" w:color="auto"/>
        <w:left w:val="none" w:sz="0" w:space="0" w:color="auto"/>
        <w:bottom w:val="none" w:sz="0" w:space="0" w:color="auto"/>
        <w:right w:val="none" w:sz="0" w:space="0" w:color="auto"/>
      </w:divBdr>
    </w:div>
    <w:div w:id="617417267">
      <w:bodyDiv w:val="1"/>
      <w:marLeft w:val="0"/>
      <w:marRight w:val="0"/>
      <w:marTop w:val="0"/>
      <w:marBottom w:val="0"/>
      <w:divBdr>
        <w:top w:val="none" w:sz="0" w:space="0" w:color="auto"/>
        <w:left w:val="none" w:sz="0" w:space="0" w:color="auto"/>
        <w:bottom w:val="none" w:sz="0" w:space="0" w:color="auto"/>
        <w:right w:val="none" w:sz="0" w:space="0" w:color="auto"/>
      </w:divBdr>
    </w:div>
    <w:div w:id="1318001708">
      <w:bodyDiv w:val="1"/>
      <w:marLeft w:val="0"/>
      <w:marRight w:val="0"/>
      <w:marTop w:val="0"/>
      <w:marBottom w:val="0"/>
      <w:divBdr>
        <w:top w:val="none" w:sz="0" w:space="0" w:color="auto"/>
        <w:left w:val="none" w:sz="0" w:space="0" w:color="auto"/>
        <w:bottom w:val="none" w:sz="0" w:space="0" w:color="auto"/>
        <w:right w:val="none" w:sz="0" w:space="0" w:color="auto"/>
      </w:divBdr>
    </w:div>
    <w:div w:id="1677732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1802</Words>
  <Characters>10276</Characters>
  <Application>Microsoft Office Word</Application>
  <DocSecurity>0</DocSecurity>
  <Lines>85</Lines>
  <Paragraphs>24</Paragraphs>
  <ScaleCrop>false</ScaleCrop>
  <Company/>
  <LinksUpToDate>false</LinksUpToDate>
  <CharactersWithSpaces>12054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 Feng</dc:creator>
  <cp:keywords/>
  <dc:description/>
  <cp:lastModifiedBy>Rae, Sue</cp:lastModifiedBy>
  <cp:revision>3</cp:revision>
  <dcterms:created xsi:type="dcterms:W3CDTF">2025-05-21T15:56:00Z</dcterms:created>
  <dcterms:modified xsi:type="dcterms:W3CDTF">2025-05-21T15:58:00Z</dcterms:modified>
</cp:coreProperties>
</file>