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433C" w:rsidRPr="009B690C" w:rsidRDefault="00947359">
      <w:pPr>
        <w:rPr>
          <w:lang w:val="en-US"/>
        </w:rPr>
      </w:pPr>
      <w:r w:rsidRPr="009B690C">
        <w:rPr>
          <w:lang w:val="en-US"/>
        </w:rPr>
        <w:t xml:space="preserve">The Arab World as </w:t>
      </w:r>
      <w:r w:rsidRPr="009B690C">
        <w:rPr>
          <w:i/>
          <w:iCs/>
          <w:lang w:val="en-US"/>
        </w:rPr>
        <w:t>Ghurba</w:t>
      </w:r>
      <w:r w:rsidRPr="009B690C">
        <w:rPr>
          <w:lang w:val="en-US"/>
        </w:rPr>
        <w:t>: Citizenship, Identity and Belonging in Literature and Popular Culture</w:t>
      </w:r>
    </w:p>
    <w:p w:rsidR="00947359" w:rsidRPr="009B690C" w:rsidRDefault="00947359">
      <w:pPr>
        <w:rPr>
          <w:lang w:val="en-US"/>
        </w:rPr>
      </w:pPr>
      <w:r w:rsidRPr="009B690C">
        <w:rPr>
          <w:lang w:val="en-US"/>
        </w:rPr>
        <w:t>Friday 21</w:t>
      </w:r>
      <w:r w:rsidRPr="009B690C">
        <w:rPr>
          <w:vertAlign w:val="superscript"/>
          <w:lang w:val="en-US"/>
        </w:rPr>
        <w:t>st</w:t>
      </w:r>
      <w:r w:rsidRPr="009B690C">
        <w:rPr>
          <w:lang w:val="en-US"/>
        </w:rPr>
        <w:t xml:space="preserve"> June 2019</w:t>
      </w:r>
    </w:p>
    <w:p w:rsidR="00ED3E0F" w:rsidRPr="009B690C" w:rsidRDefault="00947359" w:rsidP="00FE7453">
      <w:pPr>
        <w:pStyle w:val="Default"/>
        <w:rPr>
          <w:rFonts w:asciiTheme="minorHAnsi" w:hAnsiTheme="minorHAnsi"/>
          <w:sz w:val="22"/>
          <w:szCs w:val="22"/>
        </w:rPr>
      </w:pPr>
      <w:r w:rsidRPr="009B690C">
        <w:rPr>
          <w:rFonts w:asciiTheme="minorHAnsi" w:hAnsiTheme="minorHAnsi"/>
          <w:sz w:val="22"/>
          <w:szCs w:val="22"/>
        </w:rPr>
        <w:t xml:space="preserve">This one-day interdisciplinary conference was organized by Nadeen Dakkak from the Department of English and Comparative Literary Studies. </w:t>
      </w:r>
      <w:r w:rsidR="00F63290" w:rsidRPr="009B690C">
        <w:rPr>
          <w:rFonts w:asciiTheme="minorHAnsi" w:hAnsiTheme="minorHAnsi"/>
          <w:sz w:val="22"/>
          <w:szCs w:val="22"/>
        </w:rPr>
        <w:t xml:space="preserve">The conference </w:t>
      </w:r>
      <w:r w:rsidR="009B690C">
        <w:rPr>
          <w:rFonts w:asciiTheme="minorHAnsi" w:hAnsiTheme="minorHAnsi"/>
          <w:sz w:val="22"/>
          <w:szCs w:val="22"/>
        </w:rPr>
        <w:t>was centered on</w:t>
      </w:r>
      <w:r w:rsidR="00F63290" w:rsidRPr="009B690C">
        <w:rPr>
          <w:rFonts w:asciiTheme="minorHAnsi" w:hAnsiTheme="minorHAnsi"/>
          <w:sz w:val="22"/>
          <w:szCs w:val="22"/>
        </w:rPr>
        <w:t xml:space="preserve"> the concept of </w:t>
      </w:r>
      <w:r w:rsidR="00F63290" w:rsidRPr="009B690C">
        <w:rPr>
          <w:rFonts w:asciiTheme="minorHAnsi" w:hAnsiTheme="minorHAnsi"/>
          <w:i/>
          <w:iCs/>
          <w:sz w:val="22"/>
          <w:szCs w:val="22"/>
        </w:rPr>
        <w:t>ghurba</w:t>
      </w:r>
      <w:r w:rsidR="00F63290" w:rsidRPr="009B690C">
        <w:rPr>
          <w:rFonts w:asciiTheme="minorHAnsi" w:hAnsiTheme="minorHAnsi"/>
          <w:sz w:val="22"/>
          <w:szCs w:val="22"/>
        </w:rPr>
        <w:t>, an Arabic word which literally means estrangement or separation and is typically used to refer to the state of being a foreigner in a land away from home, hence evoking feelings of alienation, loneliness and a strong yearning for loved ones.</w:t>
      </w:r>
      <w:r w:rsidR="00ED3E0F" w:rsidRPr="009B690C">
        <w:rPr>
          <w:rFonts w:asciiTheme="minorHAnsi" w:hAnsiTheme="minorHAnsi"/>
          <w:sz w:val="22"/>
          <w:szCs w:val="22"/>
        </w:rPr>
        <w:t xml:space="preserve"> In our contemporary world, </w:t>
      </w:r>
      <w:r w:rsidR="00ED3E0F" w:rsidRPr="009B690C">
        <w:rPr>
          <w:rFonts w:asciiTheme="minorHAnsi" w:hAnsiTheme="minorHAnsi"/>
          <w:i/>
          <w:iCs/>
          <w:sz w:val="22"/>
          <w:szCs w:val="22"/>
        </w:rPr>
        <w:t xml:space="preserve">ghurba </w:t>
      </w:r>
      <w:r w:rsidR="00ED3E0F" w:rsidRPr="009B690C">
        <w:rPr>
          <w:rFonts w:asciiTheme="minorHAnsi" w:hAnsiTheme="minorHAnsi"/>
          <w:sz w:val="22"/>
          <w:szCs w:val="22"/>
        </w:rPr>
        <w:t xml:space="preserve">is very often associated with the migration of Arabs from Arab countries to faraway destinations, especially to the developed West. </w:t>
      </w:r>
      <w:r w:rsidR="009B690C">
        <w:rPr>
          <w:rFonts w:asciiTheme="minorHAnsi" w:hAnsiTheme="minorHAnsi"/>
          <w:sz w:val="22"/>
          <w:szCs w:val="22"/>
        </w:rPr>
        <w:t>Yet w</w:t>
      </w:r>
      <w:r w:rsidR="00ED3E0F" w:rsidRPr="009B690C">
        <w:rPr>
          <w:rFonts w:asciiTheme="minorHAnsi" w:hAnsiTheme="minorHAnsi"/>
          <w:sz w:val="22"/>
          <w:szCs w:val="22"/>
        </w:rPr>
        <w:t>hat is absent in this unde</w:t>
      </w:r>
      <w:r w:rsidR="009B690C">
        <w:rPr>
          <w:rFonts w:asciiTheme="minorHAnsi" w:hAnsiTheme="minorHAnsi"/>
          <w:sz w:val="22"/>
          <w:szCs w:val="22"/>
        </w:rPr>
        <w:t>rstanding of Arab migration</w:t>
      </w:r>
      <w:r w:rsidR="00ED3E0F" w:rsidRPr="009B690C">
        <w:rPr>
          <w:rFonts w:asciiTheme="minorHAnsi" w:hAnsiTheme="minorHAnsi"/>
          <w:sz w:val="22"/>
          <w:szCs w:val="22"/>
        </w:rPr>
        <w:t xml:space="preserve"> is the fact that the Arab world has always been and continues to be an immigrant destination in itself, receiving flows from both inside the Arab world, what we can call inter-Arab migration, as well as from outside it. It is, in other words, also a site of </w:t>
      </w:r>
      <w:r w:rsidR="00ED3E0F" w:rsidRPr="009B690C">
        <w:rPr>
          <w:rFonts w:asciiTheme="minorHAnsi" w:hAnsiTheme="minorHAnsi"/>
          <w:i/>
          <w:iCs/>
          <w:sz w:val="22"/>
          <w:szCs w:val="22"/>
        </w:rPr>
        <w:t>ghurba</w:t>
      </w:r>
      <w:r w:rsidR="00D25037">
        <w:rPr>
          <w:rFonts w:asciiTheme="minorHAnsi" w:hAnsiTheme="minorHAnsi"/>
          <w:sz w:val="22"/>
          <w:szCs w:val="22"/>
        </w:rPr>
        <w:t>, which prompted</w:t>
      </w:r>
      <w:r w:rsidR="00ED3E0F" w:rsidRPr="009B690C">
        <w:rPr>
          <w:rFonts w:asciiTheme="minorHAnsi" w:hAnsiTheme="minorHAnsi"/>
          <w:sz w:val="22"/>
          <w:szCs w:val="22"/>
        </w:rPr>
        <w:t xml:space="preserve"> us to ask about how it has been experienced by migrants, about the situation of diasporic communities within it, and about the different ways in which self/other relationships and issues of identity and belonging take shape in this particular context.</w:t>
      </w:r>
    </w:p>
    <w:p w:rsidR="00ED3E0F" w:rsidRPr="009B690C" w:rsidRDefault="00F63290" w:rsidP="00F63290">
      <w:pPr>
        <w:pStyle w:val="Default"/>
        <w:rPr>
          <w:rFonts w:asciiTheme="minorHAnsi" w:hAnsiTheme="minorHAnsi"/>
          <w:sz w:val="22"/>
          <w:szCs w:val="22"/>
        </w:rPr>
      </w:pPr>
      <w:r w:rsidRPr="009B690C">
        <w:rPr>
          <w:rFonts w:asciiTheme="minorHAnsi" w:hAnsiTheme="minorHAnsi"/>
          <w:sz w:val="22"/>
          <w:szCs w:val="22"/>
        </w:rPr>
        <w:t xml:space="preserve">  </w:t>
      </w:r>
    </w:p>
    <w:p w:rsidR="00D25037" w:rsidRDefault="00947359" w:rsidP="00F63290">
      <w:pPr>
        <w:pStyle w:val="Default"/>
        <w:rPr>
          <w:rFonts w:asciiTheme="minorHAnsi" w:hAnsiTheme="minorHAnsi"/>
          <w:sz w:val="22"/>
          <w:szCs w:val="22"/>
        </w:rPr>
      </w:pPr>
      <w:r w:rsidRPr="009B690C">
        <w:rPr>
          <w:rFonts w:asciiTheme="minorHAnsi" w:hAnsiTheme="minorHAnsi"/>
          <w:sz w:val="22"/>
          <w:szCs w:val="22"/>
        </w:rPr>
        <w:t xml:space="preserve">The aim </w:t>
      </w:r>
      <w:r w:rsidR="00F63290" w:rsidRPr="009B690C">
        <w:rPr>
          <w:rFonts w:asciiTheme="minorHAnsi" w:hAnsiTheme="minorHAnsi"/>
          <w:sz w:val="22"/>
          <w:szCs w:val="22"/>
        </w:rPr>
        <w:t xml:space="preserve">of the conference </w:t>
      </w:r>
      <w:r w:rsidRPr="009B690C">
        <w:rPr>
          <w:rFonts w:asciiTheme="minorHAnsi" w:hAnsiTheme="minorHAnsi"/>
          <w:sz w:val="22"/>
          <w:szCs w:val="22"/>
        </w:rPr>
        <w:t xml:space="preserve">was to investigate how migration to the Arab world appears in literature as well as culture more generally, and in what this documentation tells us about the Arab world as a migrant destination, or </w:t>
      </w:r>
      <w:r w:rsidR="00FE7453">
        <w:rPr>
          <w:rFonts w:asciiTheme="minorHAnsi" w:hAnsiTheme="minorHAnsi"/>
          <w:sz w:val="22"/>
          <w:szCs w:val="22"/>
        </w:rPr>
        <w:t xml:space="preserve">as </w:t>
      </w:r>
      <w:r w:rsidRPr="009B690C">
        <w:rPr>
          <w:rFonts w:asciiTheme="minorHAnsi" w:hAnsiTheme="minorHAnsi"/>
          <w:sz w:val="22"/>
          <w:szCs w:val="22"/>
        </w:rPr>
        <w:t xml:space="preserve">a place of </w:t>
      </w:r>
      <w:r w:rsidRPr="009B690C">
        <w:rPr>
          <w:rFonts w:asciiTheme="minorHAnsi" w:hAnsiTheme="minorHAnsi"/>
          <w:i/>
          <w:iCs/>
          <w:sz w:val="22"/>
          <w:szCs w:val="22"/>
        </w:rPr>
        <w:t>ghurba</w:t>
      </w:r>
      <w:r w:rsidRPr="009B690C">
        <w:rPr>
          <w:rFonts w:asciiTheme="minorHAnsi" w:hAnsiTheme="minorHAnsi"/>
          <w:sz w:val="22"/>
          <w:szCs w:val="22"/>
        </w:rPr>
        <w:t>.</w:t>
      </w:r>
      <w:r w:rsidR="00D25037">
        <w:rPr>
          <w:rFonts w:asciiTheme="minorHAnsi" w:hAnsiTheme="minorHAnsi"/>
          <w:sz w:val="22"/>
          <w:szCs w:val="22"/>
        </w:rPr>
        <w:t xml:space="preserve"> But t</w:t>
      </w:r>
      <w:r w:rsidR="009B690C">
        <w:rPr>
          <w:rFonts w:asciiTheme="minorHAnsi" w:hAnsiTheme="minorHAnsi"/>
          <w:sz w:val="22"/>
          <w:szCs w:val="22"/>
        </w:rPr>
        <w:t>his is a feeling which can be also experienced inside one’s homeland and does not necessarily entail physical mobility, as a</w:t>
      </w:r>
      <w:r w:rsidR="00D25037">
        <w:rPr>
          <w:rFonts w:asciiTheme="minorHAnsi" w:hAnsiTheme="minorHAnsi"/>
          <w:sz w:val="22"/>
          <w:szCs w:val="22"/>
        </w:rPr>
        <w:t xml:space="preserve"> number of the conference speakers have shown</w:t>
      </w:r>
      <w:r w:rsidR="009B690C">
        <w:rPr>
          <w:rFonts w:asciiTheme="minorHAnsi" w:hAnsiTheme="minorHAnsi"/>
          <w:sz w:val="22"/>
          <w:szCs w:val="22"/>
        </w:rPr>
        <w:t xml:space="preserve">. Indeed, the concept of </w:t>
      </w:r>
      <w:r w:rsidR="009B690C" w:rsidRPr="00FE7453">
        <w:rPr>
          <w:rFonts w:asciiTheme="minorHAnsi" w:hAnsiTheme="minorHAnsi"/>
          <w:i/>
          <w:iCs/>
          <w:sz w:val="22"/>
          <w:szCs w:val="22"/>
        </w:rPr>
        <w:t>ghurba</w:t>
      </w:r>
      <w:r w:rsidR="00D25037">
        <w:rPr>
          <w:rFonts w:asciiTheme="minorHAnsi" w:hAnsiTheme="minorHAnsi"/>
          <w:sz w:val="22"/>
          <w:szCs w:val="22"/>
        </w:rPr>
        <w:t xml:space="preserve"> emerged in our discussions as both the result of physical estrangement from the familiar homeland and of a psychological and mental state of alienation. </w:t>
      </w:r>
    </w:p>
    <w:p w:rsidR="00D25037" w:rsidRDefault="00D25037" w:rsidP="00F63290">
      <w:pPr>
        <w:pStyle w:val="Default"/>
        <w:rPr>
          <w:rFonts w:asciiTheme="minorHAnsi" w:hAnsiTheme="minorHAnsi"/>
          <w:sz w:val="22"/>
          <w:szCs w:val="22"/>
        </w:rPr>
      </w:pPr>
    </w:p>
    <w:p w:rsidR="00842CC4" w:rsidRDefault="00D25037" w:rsidP="00465573">
      <w:pPr>
        <w:pStyle w:val="Default"/>
        <w:rPr>
          <w:rFonts w:asciiTheme="minorHAnsi" w:hAnsiTheme="minorHAnsi"/>
          <w:sz w:val="22"/>
          <w:szCs w:val="22"/>
        </w:rPr>
      </w:pPr>
      <w:r>
        <w:rPr>
          <w:rFonts w:asciiTheme="minorHAnsi" w:hAnsiTheme="minorHAnsi"/>
          <w:sz w:val="22"/>
          <w:szCs w:val="22"/>
        </w:rPr>
        <w:t xml:space="preserve">The keynote speaker Dr. Claire Beaugrand from the Centre of Gulf Studies at the University of Exeter began the day with a talk on the absurd situation of the stateless or </w:t>
      </w:r>
      <w:r w:rsidRPr="00D25037">
        <w:rPr>
          <w:rFonts w:asciiTheme="minorHAnsi" w:hAnsiTheme="minorHAnsi"/>
          <w:i/>
          <w:iCs/>
          <w:sz w:val="22"/>
          <w:szCs w:val="22"/>
        </w:rPr>
        <w:t>bidun</w:t>
      </w:r>
      <w:r>
        <w:rPr>
          <w:rFonts w:asciiTheme="minorHAnsi" w:hAnsiTheme="minorHAnsi"/>
          <w:sz w:val="22"/>
          <w:szCs w:val="22"/>
        </w:rPr>
        <w:t xml:space="preserve"> people of Kuwait. This was then followed by thirteen papers divided across four panels which included a variety of </w:t>
      </w:r>
      <w:r w:rsidR="002625B8">
        <w:rPr>
          <w:rFonts w:asciiTheme="minorHAnsi" w:hAnsiTheme="minorHAnsi"/>
          <w:sz w:val="22"/>
          <w:szCs w:val="22"/>
        </w:rPr>
        <w:t xml:space="preserve">subjects from different disciplines, </w:t>
      </w:r>
      <w:r w:rsidR="00C3054F">
        <w:rPr>
          <w:rFonts w:asciiTheme="minorHAnsi" w:hAnsiTheme="minorHAnsi"/>
          <w:sz w:val="22"/>
          <w:szCs w:val="22"/>
        </w:rPr>
        <w:t>covering</w:t>
      </w:r>
      <w:r w:rsidR="002625B8">
        <w:rPr>
          <w:rFonts w:asciiTheme="minorHAnsi" w:hAnsiTheme="minorHAnsi"/>
          <w:sz w:val="22"/>
          <w:szCs w:val="22"/>
        </w:rPr>
        <w:t xml:space="preserve"> the connection between memory and </w:t>
      </w:r>
      <w:r w:rsidR="002625B8" w:rsidRPr="00C3054F">
        <w:rPr>
          <w:rFonts w:asciiTheme="minorHAnsi" w:hAnsiTheme="minorHAnsi"/>
          <w:i/>
          <w:iCs/>
          <w:sz w:val="22"/>
          <w:szCs w:val="22"/>
        </w:rPr>
        <w:t>ghurba</w:t>
      </w:r>
      <w:r w:rsidR="002625B8">
        <w:rPr>
          <w:rFonts w:asciiTheme="minorHAnsi" w:hAnsiTheme="minorHAnsi"/>
          <w:sz w:val="22"/>
          <w:szCs w:val="22"/>
        </w:rPr>
        <w:t>, constructions of national identity and belonging, otherness and alienation at home, and finally, experiences of exclusion and immobility in the Arab world.</w:t>
      </w:r>
      <w:r w:rsidR="00C3054F">
        <w:rPr>
          <w:rFonts w:asciiTheme="minorHAnsi" w:hAnsiTheme="minorHAnsi"/>
          <w:sz w:val="22"/>
          <w:szCs w:val="22"/>
        </w:rPr>
        <w:t xml:space="preserve"> </w:t>
      </w:r>
      <w:r w:rsidR="004E0034">
        <w:rPr>
          <w:rFonts w:asciiTheme="minorHAnsi" w:hAnsiTheme="minorHAnsi"/>
          <w:sz w:val="22"/>
          <w:szCs w:val="22"/>
        </w:rPr>
        <w:t xml:space="preserve">Speakers provided different perspectives on how the concept of </w:t>
      </w:r>
      <w:r w:rsidR="004E0034" w:rsidRPr="004E0034">
        <w:rPr>
          <w:rFonts w:asciiTheme="minorHAnsi" w:hAnsiTheme="minorHAnsi"/>
          <w:i/>
          <w:iCs/>
          <w:sz w:val="22"/>
          <w:szCs w:val="22"/>
        </w:rPr>
        <w:t>ghurba</w:t>
      </w:r>
      <w:r w:rsidR="004E0034">
        <w:rPr>
          <w:rFonts w:asciiTheme="minorHAnsi" w:hAnsiTheme="minorHAnsi"/>
          <w:sz w:val="22"/>
          <w:szCs w:val="22"/>
        </w:rPr>
        <w:t xml:space="preserve"> can be understood and our discussions proved the necessity of </w:t>
      </w:r>
      <w:r w:rsidR="00465573">
        <w:rPr>
          <w:rFonts w:asciiTheme="minorHAnsi" w:hAnsiTheme="minorHAnsi"/>
          <w:sz w:val="22"/>
          <w:szCs w:val="22"/>
        </w:rPr>
        <w:t xml:space="preserve">further </w:t>
      </w:r>
      <w:r w:rsidR="004E0034">
        <w:rPr>
          <w:rFonts w:asciiTheme="minorHAnsi" w:hAnsiTheme="minorHAnsi"/>
          <w:sz w:val="22"/>
          <w:szCs w:val="22"/>
        </w:rPr>
        <w:t xml:space="preserve">addressing </w:t>
      </w:r>
      <w:r w:rsidR="00FE7453">
        <w:rPr>
          <w:rFonts w:asciiTheme="minorHAnsi" w:hAnsiTheme="minorHAnsi"/>
          <w:sz w:val="22"/>
          <w:szCs w:val="22"/>
        </w:rPr>
        <w:t>this understudied topic</w:t>
      </w:r>
      <w:r w:rsidR="00465573">
        <w:rPr>
          <w:rFonts w:asciiTheme="minorHAnsi" w:hAnsiTheme="minorHAnsi"/>
          <w:sz w:val="22"/>
          <w:szCs w:val="22"/>
        </w:rPr>
        <w:t xml:space="preserve">. In short, the conference offered participants an excellent opportunity to discuss and </w:t>
      </w:r>
      <w:r w:rsidR="00465573">
        <w:rPr>
          <w:rFonts w:asciiTheme="minorHAnsi" w:hAnsiTheme="minorHAnsi"/>
          <w:sz w:val="22"/>
          <w:szCs w:val="22"/>
        </w:rPr>
        <w:lastRenderedPageBreak/>
        <w:t>reflect on</w:t>
      </w:r>
      <w:r w:rsidR="00FE7453">
        <w:rPr>
          <w:rFonts w:asciiTheme="minorHAnsi" w:hAnsiTheme="minorHAnsi"/>
          <w:sz w:val="22"/>
          <w:szCs w:val="22"/>
        </w:rPr>
        <w:t xml:space="preserve"> </w:t>
      </w:r>
      <w:r w:rsidR="004E0034">
        <w:rPr>
          <w:rFonts w:asciiTheme="minorHAnsi" w:hAnsiTheme="minorHAnsi"/>
          <w:sz w:val="22"/>
          <w:szCs w:val="22"/>
        </w:rPr>
        <w:t xml:space="preserve">the different ways in which </w:t>
      </w:r>
      <w:r w:rsidR="00DD178D">
        <w:rPr>
          <w:rFonts w:asciiTheme="minorHAnsi" w:hAnsiTheme="minorHAnsi"/>
          <w:sz w:val="22"/>
          <w:szCs w:val="22"/>
        </w:rPr>
        <w:t xml:space="preserve">feelings of </w:t>
      </w:r>
      <w:r w:rsidR="00DD178D" w:rsidRPr="00DD178D">
        <w:rPr>
          <w:rFonts w:asciiTheme="minorHAnsi" w:hAnsiTheme="minorHAnsi"/>
          <w:i/>
          <w:iCs/>
          <w:sz w:val="22"/>
          <w:szCs w:val="22"/>
        </w:rPr>
        <w:t>ghurba</w:t>
      </w:r>
      <w:r w:rsidR="00DD178D">
        <w:rPr>
          <w:rFonts w:asciiTheme="minorHAnsi" w:hAnsiTheme="minorHAnsi"/>
          <w:sz w:val="22"/>
          <w:szCs w:val="22"/>
        </w:rPr>
        <w:t xml:space="preserve"> </w:t>
      </w:r>
      <w:r w:rsidR="00FE7453">
        <w:rPr>
          <w:rFonts w:asciiTheme="minorHAnsi" w:hAnsiTheme="minorHAnsi"/>
          <w:sz w:val="22"/>
          <w:szCs w:val="22"/>
        </w:rPr>
        <w:t>h</w:t>
      </w:r>
      <w:r w:rsidR="00DD178D">
        <w:rPr>
          <w:rFonts w:asciiTheme="minorHAnsi" w:hAnsiTheme="minorHAnsi"/>
          <w:sz w:val="22"/>
          <w:szCs w:val="22"/>
        </w:rPr>
        <w:t>ave</w:t>
      </w:r>
      <w:r w:rsidR="004E0034">
        <w:rPr>
          <w:rFonts w:asciiTheme="minorHAnsi" w:hAnsiTheme="minorHAnsi"/>
          <w:sz w:val="22"/>
          <w:szCs w:val="22"/>
        </w:rPr>
        <w:t xml:space="preserve"> been experienced </w:t>
      </w:r>
      <w:r w:rsidR="00FE7453">
        <w:rPr>
          <w:rFonts w:asciiTheme="minorHAnsi" w:hAnsiTheme="minorHAnsi"/>
          <w:sz w:val="22"/>
          <w:szCs w:val="22"/>
        </w:rPr>
        <w:t>by different groups of people</w:t>
      </w:r>
      <w:r w:rsidR="004E0034">
        <w:rPr>
          <w:rFonts w:asciiTheme="minorHAnsi" w:hAnsiTheme="minorHAnsi"/>
          <w:sz w:val="22"/>
          <w:szCs w:val="22"/>
        </w:rPr>
        <w:t xml:space="preserve"> in the Arab world</w:t>
      </w:r>
      <w:r w:rsidR="00465573">
        <w:rPr>
          <w:rFonts w:asciiTheme="minorHAnsi" w:hAnsiTheme="minorHAnsi"/>
          <w:sz w:val="22"/>
          <w:szCs w:val="22"/>
        </w:rPr>
        <w:t>, especially in relation to conceptualizations of identity and citizenship.</w:t>
      </w:r>
    </w:p>
    <w:p w:rsidR="00842CC4" w:rsidRDefault="00842CC4" w:rsidP="00465573">
      <w:pPr>
        <w:pStyle w:val="Default"/>
        <w:rPr>
          <w:rFonts w:asciiTheme="minorHAnsi" w:hAnsiTheme="minorHAnsi"/>
          <w:sz w:val="22"/>
          <w:szCs w:val="22"/>
        </w:rPr>
      </w:pPr>
    </w:p>
    <w:p w:rsidR="00842CC4" w:rsidRDefault="00842CC4" w:rsidP="00465573">
      <w:pPr>
        <w:pStyle w:val="Default"/>
        <w:rPr>
          <w:rFonts w:asciiTheme="minorHAnsi" w:hAnsiTheme="minorHAnsi"/>
          <w:sz w:val="22"/>
          <w:szCs w:val="22"/>
        </w:rPr>
      </w:pPr>
    </w:p>
    <w:p w:rsidR="00842CC4" w:rsidRDefault="00842CC4" w:rsidP="00E83527">
      <w:pPr>
        <w:pStyle w:val="Default"/>
        <w:jc w:val="right"/>
        <w:rPr>
          <w:rFonts w:asciiTheme="minorHAnsi" w:hAnsiTheme="minorHAnsi"/>
          <w:sz w:val="22"/>
          <w:szCs w:val="22"/>
        </w:rPr>
      </w:pPr>
      <w:r>
        <w:rPr>
          <w:rFonts w:asciiTheme="minorHAnsi" w:hAnsiTheme="minorHAnsi"/>
          <w:sz w:val="22"/>
          <w:szCs w:val="22"/>
        </w:rPr>
        <w:t>Nadeen Dakkak</w:t>
      </w:r>
    </w:p>
    <w:p w:rsidR="00947359" w:rsidRPr="009B690C" w:rsidRDefault="00842CC4" w:rsidP="00E83527">
      <w:pPr>
        <w:pStyle w:val="Default"/>
        <w:jc w:val="right"/>
        <w:rPr>
          <w:rFonts w:asciiTheme="minorHAnsi" w:hAnsiTheme="minorHAnsi"/>
          <w:sz w:val="22"/>
          <w:szCs w:val="22"/>
        </w:rPr>
      </w:pPr>
      <w:r>
        <w:rPr>
          <w:rFonts w:asciiTheme="minorHAnsi" w:hAnsiTheme="minorHAnsi"/>
          <w:sz w:val="22"/>
          <w:szCs w:val="22"/>
        </w:rPr>
        <w:t>English and Comparative Literary Studies</w:t>
      </w:r>
      <w:r w:rsidR="00465573">
        <w:rPr>
          <w:rFonts w:asciiTheme="minorHAnsi" w:hAnsiTheme="minorHAnsi"/>
          <w:sz w:val="22"/>
          <w:szCs w:val="22"/>
        </w:rPr>
        <w:t xml:space="preserve"> </w:t>
      </w:r>
      <w:r w:rsidR="00FE7453">
        <w:rPr>
          <w:rFonts w:asciiTheme="minorHAnsi" w:hAnsiTheme="minorHAnsi"/>
          <w:sz w:val="22"/>
          <w:szCs w:val="22"/>
        </w:rPr>
        <w:t xml:space="preserve"> </w:t>
      </w:r>
      <w:r w:rsidR="002625B8">
        <w:rPr>
          <w:rFonts w:asciiTheme="minorHAnsi" w:hAnsiTheme="minorHAnsi"/>
          <w:sz w:val="22"/>
          <w:szCs w:val="22"/>
        </w:rPr>
        <w:t xml:space="preserve"> </w:t>
      </w:r>
      <w:r w:rsidR="00D25037">
        <w:rPr>
          <w:rFonts w:asciiTheme="minorHAnsi" w:hAnsiTheme="minorHAnsi"/>
          <w:sz w:val="22"/>
          <w:szCs w:val="22"/>
        </w:rPr>
        <w:t xml:space="preserve">    </w:t>
      </w:r>
      <w:r w:rsidR="009B690C">
        <w:rPr>
          <w:rFonts w:asciiTheme="minorHAnsi" w:hAnsiTheme="minorHAnsi"/>
          <w:sz w:val="22"/>
          <w:szCs w:val="22"/>
        </w:rPr>
        <w:t xml:space="preserve"> </w:t>
      </w:r>
      <w:r w:rsidR="00947359" w:rsidRPr="009B690C">
        <w:rPr>
          <w:rFonts w:asciiTheme="minorHAnsi" w:hAnsiTheme="minorHAnsi"/>
          <w:sz w:val="22"/>
          <w:szCs w:val="22"/>
        </w:rPr>
        <w:t xml:space="preserve">  </w:t>
      </w:r>
    </w:p>
    <w:p w:rsidR="00947359" w:rsidRPr="009B690C" w:rsidRDefault="00947359" w:rsidP="00947359">
      <w:pPr>
        <w:pStyle w:val="Default"/>
        <w:rPr>
          <w:rFonts w:asciiTheme="minorHAnsi" w:hAnsiTheme="minorHAnsi"/>
          <w:sz w:val="22"/>
          <w:szCs w:val="22"/>
        </w:rPr>
      </w:pPr>
    </w:p>
    <w:p w:rsidR="00947359" w:rsidRPr="009B690C" w:rsidRDefault="00947359" w:rsidP="00947359">
      <w:pPr>
        <w:pStyle w:val="Default"/>
        <w:rPr>
          <w:rFonts w:asciiTheme="minorHAnsi" w:hAnsiTheme="minorHAnsi"/>
          <w:sz w:val="22"/>
          <w:szCs w:val="22"/>
        </w:rPr>
      </w:pPr>
      <w:bookmarkStart w:id="0" w:name="_GoBack"/>
      <w:bookmarkEnd w:id="0"/>
    </w:p>
    <w:sectPr w:rsidR="00947359" w:rsidRPr="009B690C" w:rsidSect="002E433C">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7C18"/>
    <w:rsid w:val="00137AF0"/>
    <w:rsid w:val="002625B8"/>
    <w:rsid w:val="002E433C"/>
    <w:rsid w:val="00465573"/>
    <w:rsid w:val="004A6834"/>
    <w:rsid w:val="004E0034"/>
    <w:rsid w:val="004E0B85"/>
    <w:rsid w:val="006C760D"/>
    <w:rsid w:val="00842CC4"/>
    <w:rsid w:val="00947359"/>
    <w:rsid w:val="009B690C"/>
    <w:rsid w:val="00AA7C18"/>
    <w:rsid w:val="00C3054F"/>
    <w:rsid w:val="00D0009E"/>
    <w:rsid w:val="00D25037"/>
    <w:rsid w:val="00DD178D"/>
    <w:rsid w:val="00E83527"/>
    <w:rsid w:val="00ED3E0F"/>
    <w:rsid w:val="00F63290"/>
    <w:rsid w:val="00FE745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EE24F8-DD48-473E-AAA5-D92D5F055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433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4735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54537C97</Template>
  <TotalTime>0</TotalTime>
  <Pages>1</Pages>
  <Words>446</Words>
  <Characters>2544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Nadeen Dakkak</dc:creator>
  <cp:lastModifiedBy>Rae, Sue</cp:lastModifiedBy>
  <cp:revision>2</cp:revision>
  <dcterms:created xsi:type="dcterms:W3CDTF">2019-07-02T06:56:00Z</dcterms:created>
  <dcterms:modified xsi:type="dcterms:W3CDTF">2019-07-02T06:56:00Z</dcterms:modified>
</cp:coreProperties>
</file>