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77818B6" w14:textId="7DEDB60E" w:rsidR="003450C7" w:rsidRPr="003A3940" w:rsidRDefault="003724A4">
      <w:pPr>
        <w:rPr>
          <w:rFonts w:asciiTheme="minorHAnsi" w:hAnsiTheme="minorHAnsi" w:cstheme="minorHAnsi"/>
          <w:b/>
          <w:bCs/>
        </w:rPr>
      </w:pPr>
      <w:r w:rsidRPr="003A3940">
        <w:rPr>
          <w:rFonts w:asciiTheme="minorHAnsi" w:hAnsiTheme="minorHAnsi" w:cstheme="minorHAnsi"/>
          <w:b/>
          <w:bCs/>
        </w:rPr>
        <w:t>Seventeenth-Century England: A Symposium in Celebration of Bernard Capp’s 50 Years at Warwick</w:t>
      </w:r>
    </w:p>
    <w:p w14:paraId="162754D2" w14:textId="0B767CF4" w:rsidR="003724A4" w:rsidRPr="003A3940" w:rsidRDefault="003724A4">
      <w:pPr>
        <w:rPr>
          <w:rFonts w:asciiTheme="minorHAnsi" w:hAnsiTheme="minorHAnsi" w:cstheme="minorHAnsi"/>
        </w:rPr>
      </w:pPr>
      <w:r w:rsidRPr="003A3940">
        <w:rPr>
          <w:rFonts w:asciiTheme="minorHAnsi" w:hAnsiTheme="minorHAnsi" w:cstheme="minorHAnsi"/>
        </w:rPr>
        <w:t>Saturday 20</w:t>
      </w:r>
      <w:r w:rsidRPr="003A3940">
        <w:rPr>
          <w:rFonts w:asciiTheme="minorHAnsi" w:hAnsiTheme="minorHAnsi" w:cstheme="minorHAnsi"/>
          <w:vertAlign w:val="superscript"/>
        </w:rPr>
        <w:t>th</w:t>
      </w:r>
      <w:r w:rsidRPr="003A3940">
        <w:rPr>
          <w:rFonts w:asciiTheme="minorHAnsi" w:hAnsiTheme="minorHAnsi" w:cstheme="minorHAnsi"/>
        </w:rPr>
        <w:t xml:space="preserve"> October 2018</w:t>
      </w:r>
    </w:p>
    <w:p w14:paraId="54D1191F" w14:textId="0532BC8D" w:rsidR="00020C99" w:rsidRPr="003A3940" w:rsidRDefault="003724A4" w:rsidP="003724A4">
      <w:pPr>
        <w:rPr>
          <w:rFonts w:asciiTheme="minorHAnsi" w:hAnsiTheme="minorHAnsi" w:cstheme="minorHAnsi"/>
        </w:rPr>
      </w:pPr>
      <w:r w:rsidRPr="003A3940">
        <w:rPr>
          <w:rFonts w:asciiTheme="minorHAnsi" w:hAnsiTheme="minorHAnsi" w:cstheme="minorHAnsi"/>
        </w:rPr>
        <w:t xml:space="preserve">‘Seventeenth-Century England’ was a symposium to mark and celebrate Professor Bernard Capp’s fifty years at the University of Warwick. </w:t>
      </w:r>
      <w:r w:rsidR="009C2FDF" w:rsidRPr="003A3940">
        <w:rPr>
          <w:rFonts w:asciiTheme="minorHAnsi" w:hAnsiTheme="minorHAnsi" w:cstheme="minorHAnsi"/>
        </w:rPr>
        <w:t xml:space="preserve">It was held at Radcliffe Conference Centre. </w:t>
      </w:r>
    </w:p>
    <w:p w14:paraId="36E392E8" w14:textId="067812B1" w:rsidR="003724A4" w:rsidRPr="003A3940" w:rsidRDefault="003724A4" w:rsidP="003724A4">
      <w:pPr>
        <w:rPr>
          <w:rFonts w:asciiTheme="minorHAnsi" w:hAnsiTheme="minorHAnsi" w:cstheme="minorHAnsi"/>
        </w:rPr>
      </w:pPr>
      <w:r w:rsidRPr="003A3940">
        <w:rPr>
          <w:rFonts w:asciiTheme="minorHAnsi" w:hAnsiTheme="minorHAnsi" w:cstheme="minorHAnsi"/>
        </w:rPr>
        <w:t xml:space="preserve">Professor Capp completed 50 Years of service in the History Department at the University of Warwick, which began with his appointment as a Lecturer in History in 1968. The University of Warwick had admitted its first undergraduates only four years earlier. Over the course of his career Bernard has established himself as one of the leading historians of early modern England. His research interests vary widely, spanning social, cultural, gender, religious, political and maritime history. Among his most important publications are </w:t>
      </w:r>
      <w:r w:rsidRPr="003A3940">
        <w:rPr>
          <w:rFonts w:asciiTheme="minorHAnsi" w:hAnsiTheme="minorHAnsi" w:cstheme="minorHAnsi"/>
          <w:i/>
          <w:iCs/>
        </w:rPr>
        <w:t>When Gossips Meet</w:t>
      </w:r>
      <w:r w:rsidRPr="003A3940">
        <w:rPr>
          <w:rFonts w:asciiTheme="minorHAnsi" w:hAnsiTheme="minorHAnsi" w:cstheme="minorHAnsi"/>
        </w:rPr>
        <w:t xml:space="preserve"> (2004), </w:t>
      </w:r>
      <w:r w:rsidRPr="003A3940">
        <w:rPr>
          <w:rFonts w:asciiTheme="minorHAnsi" w:hAnsiTheme="minorHAnsi" w:cstheme="minorHAnsi"/>
          <w:i/>
          <w:iCs/>
        </w:rPr>
        <w:t>England’s Culture Wars</w:t>
      </w:r>
      <w:r w:rsidRPr="003A3940">
        <w:rPr>
          <w:rFonts w:asciiTheme="minorHAnsi" w:hAnsiTheme="minorHAnsi" w:cstheme="minorHAnsi"/>
        </w:rPr>
        <w:t xml:space="preserve"> (2012), </w:t>
      </w:r>
      <w:r w:rsidRPr="003A3940">
        <w:rPr>
          <w:rFonts w:asciiTheme="minorHAnsi" w:hAnsiTheme="minorHAnsi" w:cstheme="minorHAnsi"/>
          <w:i/>
          <w:iCs/>
        </w:rPr>
        <w:t>Astrology and the Popular Press</w:t>
      </w:r>
      <w:r w:rsidRPr="003A3940">
        <w:rPr>
          <w:rFonts w:asciiTheme="minorHAnsi" w:hAnsiTheme="minorHAnsi" w:cstheme="minorHAnsi"/>
        </w:rPr>
        <w:t xml:space="preserve"> (1979), </w:t>
      </w:r>
      <w:r w:rsidRPr="003A3940">
        <w:rPr>
          <w:rFonts w:asciiTheme="minorHAnsi" w:hAnsiTheme="minorHAnsi" w:cstheme="minorHAnsi"/>
          <w:i/>
          <w:iCs/>
        </w:rPr>
        <w:t>Cromwell’s Navy</w:t>
      </w:r>
      <w:r w:rsidRPr="003A3940">
        <w:rPr>
          <w:rFonts w:asciiTheme="minorHAnsi" w:hAnsiTheme="minorHAnsi" w:cstheme="minorHAnsi"/>
        </w:rPr>
        <w:t xml:space="preserve"> (1992) and </w:t>
      </w:r>
      <w:r w:rsidRPr="003A3940">
        <w:rPr>
          <w:rFonts w:asciiTheme="minorHAnsi" w:hAnsiTheme="minorHAnsi" w:cstheme="minorHAnsi"/>
          <w:i/>
          <w:iCs/>
        </w:rPr>
        <w:t>The Fifth Monarchy Men</w:t>
      </w:r>
      <w:r w:rsidRPr="003A3940">
        <w:rPr>
          <w:rFonts w:asciiTheme="minorHAnsi" w:hAnsiTheme="minorHAnsi" w:cstheme="minorHAnsi"/>
        </w:rPr>
        <w:t xml:space="preserve"> (1971), as well as numerous publications in journals such as </w:t>
      </w:r>
      <w:r w:rsidRPr="003A3940">
        <w:rPr>
          <w:rFonts w:asciiTheme="minorHAnsi" w:hAnsiTheme="minorHAnsi" w:cstheme="minorHAnsi"/>
          <w:i/>
          <w:iCs/>
        </w:rPr>
        <w:t>Past &amp; Present</w:t>
      </w:r>
      <w:r w:rsidRPr="003A3940">
        <w:rPr>
          <w:rFonts w:asciiTheme="minorHAnsi" w:hAnsiTheme="minorHAnsi" w:cstheme="minorHAnsi"/>
        </w:rPr>
        <w:t xml:space="preserve">, </w:t>
      </w:r>
      <w:r w:rsidRPr="003A3940">
        <w:rPr>
          <w:rFonts w:asciiTheme="minorHAnsi" w:hAnsiTheme="minorHAnsi" w:cstheme="minorHAnsi"/>
          <w:i/>
          <w:iCs/>
        </w:rPr>
        <w:t>The Seventeenth Century</w:t>
      </w:r>
      <w:r w:rsidRPr="003A3940">
        <w:rPr>
          <w:rFonts w:asciiTheme="minorHAnsi" w:hAnsiTheme="minorHAnsi" w:cstheme="minorHAnsi"/>
        </w:rPr>
        <w:t xml:space="preserve"> and </w:t>
      </w:r>
      <w:r w:rsidRPr="003A3940">
        <w:rPr>
          <w:rFonts w:asciiTheme="minorHAnsi" w:hAnsiTheme="minorHAnsi" w:cstheme="minorHAnsi"/>
          <w:i/>
          <w:iCs/>
        </w:rPr>
        <w:t>English Historical Review</w:t>
      </w:r>
      <w:r w:rsidRPr="003A3940">
        <w:rPr>
          <w:rFonts w:asciiTheme="minorHAnsi" w:hAnsiTheme="minorHAnsi" w:cstheme="minorHAnsi"/>
        </w:rPr>
        <w:t xml:space="preserve">. His latest book, </w:t>
      </w:r>
      <w:r w:rsidRPr="003A3940">
        <w:rPr>
          <w:rFonts w:asciiTheme="minorHAnsi" w:hAnsiTheme="minorHAnsi" w:cstheme="minorHAnsi"/>
          <w:i/>
          <w:iCs/>
        </w:rPr>
        <w:t>The Ties That Bind</w:t>
      </w:r>
      <w:r w:rsidRPr="003A3940">
        <w:rPr>
          <w:rFonts w:asciiTheme="minorHAnsi" w:hAnsiTheme="minorHAnsi" w:cstheme="minorHAnsi"/>
        </w:rPr>
        <w:t xml:space="preserve"> (OUP, 2018) examines the relationships between siblings in early modern England. </w:t>
      </w:r>
    </w:p>
    <w:p w14:paraId="726520D3" w14:textId="28BE2809" w:rsidR="003724A4" w:rsidRPr="003A3940" w:rsidRDefault="003724A4" w:rsidP="003724A4">
      <w:pPr>
        <w:rPr>
          <w:rFonts w:asciiTheme="minorHAnsi" w:hAnsiTheme="minorHAnsi" w:cstheme="minorHAnsi"/>
        </w:rPr>
      </w:pPr>
      <w:r w:rsidRPr="003A3940">
        <w:rPr>
          <w:rFonts w:asciiTheme="minorHAnsi" w:hAnsiTheme="minorHAnsi" w:cstheme="minorHAnsi"/>
        </w:rPr>
        <w:t>The programme, which covered many aspects of the social and cultural history of seventeenth-century Engl</w:t>
      </w:r>
      <w:r w:rsidR="00F15C8E" w:rsidRPr="003A3940">
        <w:rPr>
          <w:rFonts w:asciiTheme="minorHAnsi" w:hAnsiTheme="minorHAnsi" w:cstheme="minorHAnsi"/>
        </w:rPr>
        <w:t xml:space="preserve">and </w:t>
      </w:r>
      <w:r w:rsidRPr="003A3940">
        <w:rPr>
          <w:rFonts w:asciiTheme="minorHAnsi" w:hAnsiTheme="minorHAnsi" w:cstheme="minorHAnsi"/>
        </w:rPr>
        <w:t xml:space="preserve">was intended to give space to all the themes that underpin his work and provided a welcome opportunity for Bernard’s former-students and colleagues to celebrate his long and wide-ranging career at Warwick. </w:t>
      </w:r>
    </w:p>
    <w:p w14:paraId="26648656" w14:textId="5FB6487A" w:rsidR="00020C99" w:rsidRPr="003A3940" w:rsidRDefault="003724A4" w:rsidP="003724A4">
      <w:pPr>
        <w:rPr>
          <w:rFonts w:asciiTheme="minorHAnsi" w:hAnsiTheme="minorHAnsi" w:cstheme="minorHAnsi"/>
        </w:rPr>
      </w:pPr>
      <w:r w:rsidRPr="003A3940">
        <w:rPr>
          <w:rFonts w:asciiTheme="minorHAnsi" w:hAnsiTheme="minorHAnsi" w:cstheme="minorHAnsi"/>
        </w:rPr>
        <w:t>The event was divided into four sessions each focussed on a different aspect of Bernard’s research</w:t>
      </w:r>
      <w:r w:rsidR="00020C99" w:rsidRPr="003A3940">
        <w:rPr>
          <w:rFonts w:asciiTheme="minorHAnsi" w:hAnsiTheme="minorHAnsi" w:cstheme="minorHAnsi"/>
        </w:rPr>
        <w:t xml:space="preserve">: Gender and Emotion; English Society at Land and Sea; Cheap Print and Knowledge; Families of Faith. All the speakers began their papers by explaining their own reasons for accepting the offer to speak, whether as former-students who had prospered under his enthusiastic and inspiring supervision (Tim Reinke-Williams, Catherine Armstrong, Jasmine Kilburn-Toppin, Angela McShane); as researchers now in academic positions who benefitted from having their PhD’s externally examined by Bernard (Amanda </w:t>
      </w:r>
      <w:proofErr w:type="spellStart"/>
      <w:r w:rsidR="00020C99" w:rsidRPr="003A3940">
        <w:rPr>
          <w:rFonts w:asciiTheme="minorHAnsi" w:hAnsiTheme="minorHAnsi" w:cstheme="minorHAnsi"/>
        </w:rPr>
        <w:t>Flather</w:t>
      </w:r>
      <w:proofErr w:type="spellEnd"/>
      <w:r w:rsidR="009C2FDF" w:rsidRPr="003A3940">
        <w:rPr>
          <w:rFonts w:asciiTheme="minorHAnsi" w:hAnsiTheme="minorHAnsi" w:cstheme="minorHAnsi"/>
        </w:rPr>
        <w:t>,</w:t>
      </w:r>
      <w:r w:rsidR="00020C99" w:rsidRPr="003A3940">
        <w:rPr>
          <w:rFonts w:asciiTheme="minorHAnsi" w:hAnsiTheme="minorHAnsi" w:cstheme="minorHAnsi"/>
        </w:rPr>
        <w:t xml:space="preserve"> Richard Blakemore); </w:t>
      </w:r>
      <w:r w:rsidR="009C2FDF" w:rsidRPr="003A3940">
        <w:rPr>
          <w:rFonts w:asciiTheme="minorHAnsi" w:hAnsiTheme="minorHAnsi" w:cstheme="minorHAnsi"/>
        </w:rPr>
        <w:t>or as</w:t>
      </w:r>
      <w:r w:rsidR="00020C99" w:rsidRPr="003A3940">
        <w:rPr>
          <w:rFonts w:asciiTheme="minorHAnsi" w:hAnsiTheme="minorHAnsi" w:cstheme="minorHAnsi"/>
        </w:rPr>
        <w:t xml:space="preserve"> more senior scholars who had been influenced by Bernard’s work and benefitted from his collegiality over the course of their careers (Alexandra Walsham, Ann Hughes</w:t>
      </w:r>
      <w:r w:rsidR="009C2FDF" w:rsidRPr="003A3940">
        <w:rPr>
          <w:rFonts w:asciiTheme="minorHAnsi" w:hAnsiTheme="minorHAnsi" w:cstheme="minorHAnsi"/>
        </w:rPr>
        <w:t xml:space="preserve"> and </w:t>
      </w:r>
      <w:r w:rsidR="00020C99" w:rsidRPr="003A3940">
        <w:rPr>
          <w:rFonts w:asciiTheme="minorHAnsi" w:hAnsiTheme="minorHAnsi" w:cstheme="minorHAnsi"/>
        </w:rPr>
        <w:t>Richard Cust).</w:t>
      </w:r>
    </w:p>
    <w:p w14:paraId="3B2858FF" w14:textId="48416A2F" w:rsidR="006538F4" w:rsidRPr="003A3940" w:rsidRDefault="00020C99" w:rsidP="003724A4">
      <w:pPr>
        <w:rPr>
          <w:rFonts w:asciiTheme="minorHAnsi" w:hAnsiTheme="minorHAnsi" w:cstheme="minorHAnsi"/>
        </w:rPr>
      </w:pPr>
      <w:r w:rsidRPr="003A3940">
        <w:rPr>
          <w:rFonts w:asciiTheme="minorHAnsi" w:hAnsiTheme="minorHAnsi" w:cstheme="minorHAnsi"/>
        </w:rPr>
        <w:t xml:space="preserve">The organisers, Naomi Pullin and Peter Marshall, would like to offer particular thanks to Sheilagh Holmes for </w:t>
      </w:r>
      <w:r w:rsidR="006538F4" w:rsidRPr="003A3940">
        <w:rPr>
          <w:rFonts w:asciiTheme="minorHAnsi" w:hAnsiTheme="minorHAnsi" w:cstheme="minorHAnsi"/>
        </w:rPr>
        <w:t>the administrative support she provided</w:t>
      </w:r>
      <w:r w:rsidRPr="003A3940">
        <w:rPr>
          <w:rFonts w:asciiTheme="minorHAnsi" w:hAnsiTheme="minorHAnsi" w:cstheme="minorHAnsi"/>
        </w:rPr>
        <w:t xml:space="preserve">. We are also grateful to Dan Branch for </w:t>
      </w:r>
      <w:r w:rsidR="006538F4" w:rsidRPr="003A3940">
        <w:rPr>
          <w:rFonts w:asciiTheme="minorHAnsi" w:hAnsiTheme="minorHAnsi" w:cstheme="minorHAnsi"/>
        </w:rPr>
        <w:t>providing the impetus and finances to make such an event possible. The HRC’s contribution to the event enabled us to provide a wine reception</w:t>
      </w:r>
      <w:r w:rsidR="009C2FDF" w:rsidRPr="003A3940">
        <w:rPr>
          <w:rFonts w:asciiTheme="minorHAnsi" w:hAnsiTheme="minorHAnsi" w:cstheme="minorHAnsi"/>
        </w:rPr>
        <w:t xml:space="preserve"> for the delegates</w:t>
      </w:r>
      <w:r w:rsidR="006538F4" w:rsidRPr="003A3940">
        <w:rPr>
          <w:rFonts w:asciiTheme="minorHAnsi" w:hAnsiTheme="minorHAnsi" w:cstheme="minorHAnsi"/>
        </w:rPr>
        <w:t xml:space="preserve">, which was greatly appreciated and provided a fitting way to end this celebration of collegiality, friendship and scholarship. </w:t>
      </w:r>
    </w:p>
    <w:p w14:paraId="5B5C4D6F" w14:textId="2C4D195E" w:rsidR="003724A4" w:rsidRDefault="006538F4" w:rsidP="006538F4">
      <w:pPr>
        <w:jc w:val="left"/>
        <w:rPr>
          <w:rFonts w:asciiTheme="minorHAnsi" w:hAnsiTheme="minorHAnsi" w:cstheme="minorHAnsi"/>
        </w:rPr>
      </w:pPr>
      <w:r w:rsidRPr="003A3940">
        <w:rPr>
          <w:rFonts w:asciiTheme="minorHAnsi" w:hAnsiTheme="minorHAnsi" w:cstheme="minorHAnsi"/>
        </w:rPr>
        <w:lastRenderedPageBreak/>
        <w:t xml:space="preserve">One participant, Laura Sangha, wrote a detailed report of the event on a blog managed by former postgraduate students at Warwick, who all benefitted from Bernard’s advice and expertise whilst in the department: </w:t>
      </w:r>
      <w:hyperlink r:id="rId4" w:history="1">
        <w:r w:rsidRPr="003A3940">
          <w:rPr>
            <w:rStyle w:val="Hyperlink"/>
            <w:rFonts w:asciiTheme="minorHAnsi" w:hAnsiTheme="minorHAnsi" w:cstheme="minorHAnsi"/>
          </w:rPr>
          <w:t>https://manyheadedmonster.wordpress.com/2018/11/05/notes-on-a-symposium-that-celebrated-professor-bernard-capps-50-years-at-warwick/</w:t>
        </w:r>
      </w:hyperlink>
      <w:r w:rsidRPr="003A3940">
        <w:rPr>
          <w:rFonts w:asciiTheme="minorHAnsi" w:hAnsiTheme="minorHAnsi" w:cstheme="minorHAnsi"/>
        </w:rPr>
        <w:t xml:space="preserve"> </w:t>
      </w:r>
    </w:p>
    <w:p w14:paraId="24D30716" w14:textId="4EC3ABF6" w:rsidR="003A3940" w:rsidRDefault="003A3940" w:rsidP="006538F4">
      <w:pPr>
        <w:jc w:val="left"/>
        <w:rPr>
          <w:rFonts w:asciiTheme="minorHAnsi" w:hAnsiTheme="minorHAnsi" w:cstheme="minorHAnsi"/>
        </w:rPr>
      </w:pPr>
    </w:p>
    <w:p w14:paraId="43A8D575" w14:textId="3456D4FC" w:rsidR="003A3940" w:rsidRPr="003A3940" w:rsidRDefault="003A3940" w:rsidP="003A3940">
      <w:pPr>
        <w:jc w:val="right"/>
        <w:rPr>
          <w:rFonts w:asciiTheme="minorHAnsi" w:hAnsiTheme="minorHAnsi" w:cstheme="minorHAnsi"/>
        </w:rPr>
      </w:pPr>
      <w:r>
        <w:rPr>
          <w:rFonts w:asciiTheme="minorHAnsi" w:hAnsiTheme="minorHAnsi" w:cstheme="minorHAnsi"/>
        </w:rPr>
        <w:t xml:space="preserve">Naomi </w:t>
      </w:r>
      <w:proofErr w:type="spellStart"/>
      <w:r>
        <w:rPr>
          <w:rFonts w:asciiTheme="minorHAnsi" w:hAnsiTheme="minorHAnsi" w:cstheme="minorHAnsi"/>
        </w:rPr>
        <w:t>Pullin</w:t>
      </w:r>
      <w:proofErr w:type="spellEnd"/>
      <w:r>
        <w:rPr>
          <w:rFonts w:asciiTheme="minorHAnsi" w:hAnsiTheme="minorHAnsi" w:cstheme="minorHAnsi"/>
        </w:rPr>
        <w:t>, History</w:t>
      </w:r>
      <w:bookmarkStart w:id="0" w:name="_GoBack"/>
      <w:bookmarkEnd w:id="0"/>
    </w:p>
    <w:p w14:paraId="3D9E9800" w14:textId="77777777" w:rsidR="003724A4" w:rsidRPr="003A3940" w:rsidRDefault="003724A4" w:rsidP="003724A4">
      <w:pPr>
        <w:rPr>
          <w:rFonts w:asciiTheme="minorHAnsi" w:hAnsiTheme="minorHAnsi" w:cstheme="minorHAnsi"/>
        </w:rPr>
      </w:pPr>
    </w:p>
    <w:sectPr w:rsidR="003724A4" w:rsidRPr="003A394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mbria">
    <w:panose1 w:val="02040503050406030204"/>
    <w:charset w:val="00"/>
    <w:family w:val="roman"/>
    <w:pitch w:val="variable"/>
    <w:sig w:usb0="E00006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24A4"/>
    <w:rsid w:val="00020C99"/>
    <w:rsid w:val="00354AE5"/>
    <w:rsid w:val="003724A4"/>
    <w:rsid w:val="0038652D"/>
    <w:rsid w:val="003A3940"/>
    <w:rsid w:val="006538F4"/>
    <w:rsid w:val="006E69D2"/>
    <w:rsid w:val="00825AC3"/>
    <w:rsid w:val="009C2FDF"/>
    <w:rsid w:val="00A14955"/>
    <w:rsid w:val="00D62349"/>
    <w:rsid w:val="00F15C8E"/>
    <w:rsid w:val="00F9741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D3F077"/>
  <w15:chartTrackingRefBased/>
  <w15:docId w15:val="{C4B3C86B-80A6-40C2-A710-1F90097E02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mbria" w:eastAsiaTheme="minorHAnsi" w:hAnsi="Cambria" w:cstheme="minorBidi"/>
        <w:sz w:val="22"/>
        <w:szCs w:val="22"/>
        <w:lang w:val="en-GB" w:eastAsia="en-US" w:bidi="ar-SA"/>
      </w:rPr>
    </w:rPrDefault>
    <w:pPrDefault>
      <w:pPr>
        <w:spacing w:after="120"/>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538F4"/>
    <w:rPr>
      <w:color w:val="0563C1" w:themeColor="hyperlink"/>
      <w:u w:val="single"/>
    </w:rPr>
  </w:style>
  <w:style w:type="character" w:customStyle="1" w:styleId="UnresolvedMention">
    <w:name w:val="Unresolved Mention"/>
    <w:basedOn w:val="DefaultParagraphFont"/>
    <w:uiPriority w:val="99"/>
    <w:semiHidden/>
    <w:unhideWhenUsed/>
    <w:rsid w:val="006538F4"/>
    <w:rPr>
      <w:color w:val="605E5C"/>
      <w:shd w:val="clear" w:color="auto" w:fill="E1DFDD"/>
    </w:rPr>
  </w:style>
  <w:style w:type="character" w:styleId="FollowedHyperlink">
    <w:name w:val="FollowedHyperlink"/>
    <w:basedOn w:val="DefaultParagraphFont"/>
    <w:uiPriority w:val="99"/>
    <w:semiHidden/>
    <w:unhideWhenUsed/>
    <w:rsid w:val="003A394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manyheadedmonster.wordpress.com/2018/11/05/notes-on-a-symposium-that-celebrated-professor-bernard-capps-50-years-at-warwic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43944AA6</Template>
  <TotalTime>0</TotalTime>
  <Pages>1</Pages>
  <Words>501</Words>
  <Characters>2857</Characters>
  <Application>Microsoft Office Word</Application>
  <DocSecurity>4</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Naomi Pullin</dc:creator>
  <cp:keywords/>
  <dc:description/>
  <cp:lastModifiedBy>Rae, Sue</cp:lastModifiedBy>
  <cp:revision>2</cp:revision>
  <dcterms:created xsi:type="dcterms:W3CDTF">2019-06-19T13:13:00Z</dcterms:created>
  <dcterms:modified xsi:type="dcterms:W3CDTF">2019-06-19T13:13:00Z</dcterms:modified>
</cp:coreProperties>
</file>