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080857" w14:textId="70B0E6F9" w:rsidR="00CF32B4" w:rsidRDefault="00CF32B4" w:rsidP="00C429DA">
      <w:pPr>
        <w:spacing w:after="0"/>
        <w:rPr>
          <w:rFonts w:ascii="Calibri" w:hAnsi="Calibri" w:cs="Calibri"/>
          <w:b/>
          <w:sz w:val="22"/>
          <w:szCs w:val="22"/>
        </w:rPr>
      </w:pPr>
      <w:r w:rsidRPr="00C429DA">
        <w:rPr>
          <w:rFonts w:ascii="Calibri" w:hAnsi="Calibri" w:cs="Calibri"/>
          <w:b/>
          <w:sz w:val="22"/>
          <w:szCs w:val="22"/>
        </w:rPr>
        <w:t xml:space="preserve">Coins </w:t>
      </w:r>
      <w:r w:rsidR="00E51B12" w:rsidRPr="00C429DA">
        <w:rPr>
          <w:rFonts w:ascii="Calibri" w:hAnsi="Calibri" w:cs="Calibri"/>
          <w:b/>
          <w:sz w:val="22"/>
          <w:szCs w:val="22"/>
        </w:rPr>
        <w:t>and Visual Media: influences,</w:t>
      </w:r>
      <w:r w:rsidRPr="00C429DA">
        <w:rPr>
          <w:rFonts w:ascii="Calibri" w:hAnsi="Calibri" w:cs="Calibri"/>
          <w:b/>
          <w:sz w:val="22"/>
          <w:szCs w:val="22"/>
        </w:rPr>
        <w:t xml:space="preserve"> connections</w:t>
      </w:r>
      <w:r w:rsidR="00E51B12" w:rsidRPr="00C429DA">
        <w:rPr>
          <w:rFonts w:ascii="Calibri" w:hAnsi="Calibri" w:cs="Calibri"/>
          <w:b/>
          <w:sz w:val="22"/>
          <w:szCs w:val="22"/>
        </w:rPr>
        <w:t xml:space="preserve"> and intersections</w:t>
      </w:r>
    </w:p>
    <w:p w14:paraId="5E25FE30" w14:textId="1F22F7A2" w:rsidR="005F18D4" w:rsidRDefault="003A2F83" w:rsidP="00C429DA">
      <w:pPr>
        <w:spacing w:after="0"/>
        <w:rPr>
          <w:rFonts w:ascii="Calibri" w:hAnsi="Calibri" w:cs="Calibri"/>
          <w:sz w:val="22"/>
          <w:szCs w:val="22"/>
        </w:rPr>
      </w:pPr>
      <w:r w:rsidRPr="00C429DA">
        <w:rPr>
          <w:rFonts w:ascii="Calibri" w:hAnsi="Calibri" w:cs="Calibri"/>
          <w:sz w:val="22"/>
          <w:szCs w:val="22"/>
        </w:rPr>
        <w:t xml:space="preserve">Oculus Building, </w:t>
      </w:r>
      <w:r w:rsidR="005F18D4" w:rsidRPr="00C429DA">
        <w:rPr>
          <w:rFonts w:ascii="Calibri" w:hAnsi="Calibri" w:cs="Calibri"/>
          <w:sz w:val="22"/>
          <w:szCs w:val="22"/>
        </w:rPr>
        <w:t>13</w:t>
      </w:r>
      <w:r w:rsidR="005F18D4" w:rsidRPr="00C429DA">
        <w:rPr>
          <w:rFonts w:ascii="Calibri" w:hAnsi="Calibri" w:cs="Calibri"/>
          <w:sz w:val="22"/>
          <w:szCs w:val="22"/>
          <w:vertAlign w:val="superscript"/>
        </w:rPr>
        <w:t>th</w:t>
      </w:r>
      <w:r w:rsidR="005F18D4" w:rsidRPr="00C429DA">
        <w:rPr>
          <w:rFonts w:ascii="Calibri" w:hAnsi="Calibri" w:cs="Calibri"/>
          <w:sz w:val="22"/>
          <w:szCs w:val="22"/>
        </w:rPr>
        <w:t xml:space="preserve"> June 2019</w:t>
      </w:r>
    </w:p>
    <w:p w14:paraId="1B82BA0D" w14:textId="77777777" w:rsidR="00C429DA" w:rsidRPr="00C429DA" w:rsidRDefault="00C429DA" w:rsidP="00C429DA">
      <w:pPr>
        <w:spacing w:after="0"/>
        <w:rPr>
          <w:rFonts w:ascii="Calibri" w:hAnsi="Calibri" w:cs="Calibri"/>
          <w:sz w:val="22"/>
          <w:szCs w:val="22"/>
        </w:rPr>
      </w:pPr>
    </w:p>
    <w:p w14:paraId="589DBE6F" w14:textId="0128410B" w:rsidR="0077274C" w:rsidRDefault="004711A3" w:rsidP="00C429DA">
      <w:pPr>
        <w:widowControl w:val="0"/>
        <w:autoSpaceDE w:val="0"/>
        <w:autoSpaceDN w:val="0"/>
        <w:adjustRightInd w:val="0"/>
        <w:spacing w:after="0"/>
        <w:jc w:val="both"/>
        <w:rPr>
          <w:rFonts w:asciiTheme="majorHAnsi" w:hAnsiTheme="majorHAnsi"/>
          <w:sz w:val="22"/>
          <w:szCs w:val="22"/>
        </w:rPr>
      </w:pPr>
      <w:r w:rsidRPr="00C429DA">
        <w:rPr>
          <w:rFonts w:ascii="Calibri" w:hAnsi="Calibri" w:cs="Calibri"/>
          <w:sz w:val="22"/>
          <w:szCs w:val="22"/>
        </w:rPr>
        <w:t>A</w:t>
      </w:r>
      <w:r w:rsidR="00A34316" w:rsidRPr="00C429DA">
        <w:rPr>
          <w:rFonts w:ascii="Calibri" w:hAnsi="Calibri" w:cs="Calibri"/>
          <w:sz w:val="22"/>
          <w:szCs w:val="22"/>
        </w:rPr>
        <w:t xml:space="preserve">ncient coins were </w:t>
      </w:r>
      <w:r w:rsidR="008B44F0" w:rsidRPr="00C429DA">
        <w:rPr>
          <w:rFonts w:ascii="Calibri" w:hAnsi="Calibri" w:cs="Calibri"/>
          <w:sz w:val="22"/>
          <w:szCs w:val="22"/>
        </w:rPr>
        <w:t>produced</w:t>
      </w:r>
      <w:r w:rsidR="009F5BB6" w:rsidRPr="00C429DA">
        <w:rPr>
          <w:rFonts w:ascii="Calibri" w:hAnsi="Calibri" w:cs="Calibri"/>
          <w:sz w:val="22"/>
          <w:szCs w:val="22"/>
        </w:rPr>
        <w:t xml:space="preserve"> to</w:t>
      </w:r>
      <w:r w:rsidR="00BB0C49" w:rsidRPr="00C429DA">
        <w:rPr>
          <w:rFonts w:ascii="Calibri" w:hAnsi="Calibri" w:cs="Calibri"/>
          <w:sz w:val="22"/>
          <w:szCs w:val="22"/>
        </w:rPr>
        <w:t xml:space="preserve"> serve as currency</w:t>
      </w:r>
      <w:r w:rsidR="009F5BB6" w:rsidRPr="00C429DA">
        <w:rPr>
          <w:rFonts w:ascii="Calibri" w:hAnsi="Calibri" w:cs="Calibri"/>
          <w:sz w:val="22"/>
          <w:szCs w:val="22"/>
        </w:rPr>
        <w:t>,</w:t>
      </w:r>
      <w:r w:rsidR="00F74F7E" w:rsidRPr="00C429DA">
        <w:rPr>
          <w:rFonts w:ascii="Calibri" w:hAnsi="Calibri" w:cs="Calibri"/>
          <w:sz w:val="22"/>
          <w:szCs w:val="22"/>
        </w:rPr>
        <w:t xml:space="preserve"> but </w:t>
      </w:r>
      <w:r w:rsidR="008B44F0" w:rsidRPr="00C429DA">
        <w:rPr>
          <w:rFonts w:ascii="Calibri" w:hAnsi="Calibri" w:cs="Calibri"/>
          <w:sz w:val="22"/>
          <w:szCs w:val="22"/>
        </w:rPr>
        <w:t xml:space="preserve">they </w:t>
      </w:r>
      <w:r w:rsidR="00503A93" w:rsidRPr="00C429DA">
        <w:rPr>
          <w:rFonts w:ascii="Calibri" w:hAnsi="Calibri" w:cs="Calibri"/>
          <w:sz w:val="22"/>
          <w:szCs w:val="22"/>
        </w:rPr>
        <w:t xml:space="preserve">were </w:t>
      </w:r>
      <w:r w:rsidR="008B44F0" w:rsidRPr="00C429DA">
        <w:rPr>
          <w:rFonts w:ascii="Calibri" w:hAnsi="Calibri" w:cs="Calibri"/>
          <w:sz w:val="22"/>
          <w:szCs w:val="22"/>
        </w:rPr>
        <w:t xml:space="preserve">also </w:t>
      </w:r>
      <w:r w:rsidR="007213E9" w:rsidRPr="00C429DA">
        <w:rPr>
          <w:rFonts w:ascii="Calibri" w:hAnsi="Calibri" w:cs="Calibri"/>
          <w:sz w:val="22"/>
          <w:szCs w:val="22"/>
        </w:rPr>
        <w:t>ubiquitous communication media</w:t>
      </w:r>
      <w:r w:rsidR="006F4895" w:rsidRPr="00C429DA">
        <w:rPr>
          <w:rFonts w:ascii="Calibri" w:hAnsi="Calibri" w:cs="Calibri"/>
          <w:sz w:val="22"/>
          <w:szCs w:val="22"/>
        </w:rPr>
        <w:t xml:space="preserve"> featuring political and ideological messages designed by the issuing authority</w:t>
      </w:r>
      <w:r w:rsidR="007E2A70" w:rsidRPr="00C429DA">
        <w:rPr>
          <w:rFonts w:asciiTheme="majorHAnsi" w:hAnsiTheme="majorHAnsi" w:cs="Calibri"/>
          <w:sz w:val="22"/>
          <w:szCs w:val="22"/>
        </w:rPr>
        <w:t xml:space="preserve">. </w:t>
      </w:r>
      <w:r w:rsidR="00FF0532" w:rsidRPr="00C429DA">
        <w:rPr>
          <w:rFonts w:asciiTheme="majorHAnsi" w:hAnsiTheme="majorHAnsi" w:cs="Calibri"/>
          <w:sz w:val="22"/>
          <w:szCs w:val="22"/>
        </w:rPr>
        <w:t xml:space="preserve">Scholarly research </w:t>
      </w:r>
      <w:r w:rsidR="005A32B4" w:rsidRPr="00C429DA">
        <w:rPr>
          <w:rFonts w:asciiTheme="majorHAnsi" w:hAnsiTheme="majorHAnsi"/>
          <w:sz w:val="22"/>
          <w:szCs w:val="22"/>
        </w:rPr>
        <w:t xml:space="preserve">has traditionally </w:t>
      </w:r>
      <w:r w:rsidR="00A72296" w:rsidRPr="00C429DA">
        <w:rPr>
          <w:rFonts w:asciiTheme="majorHAnsi" w:hAnsiTheme="majorHAnsi"/>
          <w:sz w:val="22"/>
          <w:szCs w:val="22"/>
        </w:rPr>
        <w:t>studied</w:t>
      </w:r>
      <w:r w:rsidR="005A32B4" w:rsidRPr="00C429DA">
        <w:rPr>
          <w:rFonts w:asciiTheme="majorHAnsi" w:hAnsiTheme="majorHAnsi"/>
          <w:sz w:val="22"/>
          <w:szCs w:val="22"/>
        </w:rPr>
        <w:t xml:space="preserve"> the or</w:t>
      </w:r>
      <w:r w:rsidR="00FF0532" w:rsidRPr="00C429DA">
        <w:rPr>
          <w:rFonts w:asciiTheme="majorHAnsi" w:hAnsiTheme="majorHAnsi"/>
          <w:sz w:val="22"/>
          <w:szCs w:val="22"/>
        </w:rPr>
        <w:t>igin and evolution of coin designs</w:t>
      </w:r>
      <w:r w:rsidR="005A32B4" w:rsidRPr="00C429DA">
        <w:rPr>
          <w:rFonts w:asciiTheme="majorHAnsi" w:hAnsiTheme="majorHAnsi"/>
          <w:sz w:val="22"/>
          <w:szCs w:val="22"/>
        </w:rPr>
        <w:t xml:space="preserve"> across</w:t>
      </w:r>
      <w:r w:rsidR="00A72296" w:rsidRPr="00C429DA">
        <w:rPr>
          <w:rFonts w:asciiTheme="majorHAnsi" w:hAnsiTheme="majorHAnsi"/>
          <w:sz w:val="22"/>
          <w:szCs w:val="22"/>
        </w:rPr>
        <w:t xml:space="preserve"> time and space, or</w:t>
      </w:r>
      <w:r w:rsidR="005A32B4" w:rsidRPr="00C429DA">
        <w:rPr>
          <w:rFonts w:asciiTheme="majorHAnsi" w:hAnsiTheme="majorHAnsi"/>
          <w:sz w:val="22"/>
          <w:szCs w:val="22"/>
        </w:rPr>
        <w:t xml:space="preserve"> their impact </w:t>
      </w:r>
      <w:r w:rsidR="005A32B4" w:rsidRPr="00C429DA">
        <w:rPr>
          <w:rFonts w:asciiTheme="majorHAnsi" w:hAnsiTheme="majorHAnsi"/>
          <w:sz w:val="22"/>
          <w:szCs w:val="22"/>
        </w:rPr>
        <w:lastRenderedPageBreak/>
        <w:t xml:space="preserve">on potential audiences </w:t>
      </w:r>
      <w:r w:rsidR="00BB31C1" w:rsidRPr="00C429DA">
        <w:rPr>
          <w:rFonts w:asciiTheme="majorHAnsi" w:hAnsiTheme="majorHAnsi"/>
          <w:sz w:val="22"/>
          <w:szCs w:val="22"/>
        </w:rPr>
        <w:t>through</w:t>
      </w:r>
      <w:r w:rsidR="006F4895" w:rsidRPr="00C429DA">
        <w:rPr>
          <w:rFonts w:asciiTheme="majorHAnsi" w:hAnsiTheme="majorHAnsi"/>
          <w:sz w:val="22"/>
          <w:szCs w:val="22"/>
        </w:rPr>
        <w:t xml:space="preserve"> the way they targeted</w:t>
      </w:r>
      <w:r w:rsidR="005A32B4" w:rsidRPr="00C429DA">
        <w:rPr>
          <w:rFonts w:asciiTheme="majorHAnsi" w:hAnsiTheme="majorHAnsi"/>
          <w:sz w:val="22"/>
          <w:szCs w:val="22"/>
        </w:rPr>
        <w:t xml:space="preserve"> specific categories of recipients (e.g. soldiers)</w:t>
      </w:r>
      <w:r w:rsidR="00FF0532" w:rsidRPr="00C429DA">
        <w:rPr>
          <w:rFonts w:asciiTheme="majorHAnsi" w:hAnsiTheme="majorHAnsi"/>
          <w:sz w:val="22"/>
          <w:szCs w:val="22"/>
        </w:rPr>
        <w:t>.</w:t>
      </w:r>
      <w:r w:rsidR="005A32B4" w:rsidRPr="00C429DA">
        <w:rPr>
          <w:rFonts w:asciiTheme="majorHAnsi" w:hAnsiTheme="majorHAnsi"/>
          <w:sz w:val="22"/>
          <w:szCs w:val="22"/>
        </w:rPr>
        <w:t xml:space="preserve"> </w:t>
      </w:r>
    </w:p>
    <w:p w14:paraId="0053FEF1" w14:textId="77777777" w:rsidR="00C429DA" w:rsidRPr="00C429DA" w:rsidRDefault="00C429DA" w:rsidP="00C429DA">
      <w:pPr>
        <w:widowControl w:val="0"/>
        <w:autoSpaceDE w:val="0"/>
        <w:autoSpaceDN w:val="0"/>
        <w:adjustRightInd w:val="0"/>
        <w:spacing w:after="0"/>
        <w:jc w:val="both"/>
        <w:rPr>
          <w:rFonts w:asciiTheme="majorHAnsi" w:hAnsiTheme="majorHAnsi"/>
          <w:sz w:val="22"/>
          <w:szCs w:val="22"/>
        </w:rPr>
      </w:pPr>
      <w:bookmarkStart w:id="0" w:name="_GoBack"/>
      <w:bookmarkEnd w:id="0"/>
    </w:p>
    <w:p w14:paraId="29DAEBAB" w14:textId="2515D8D8" w:rsidR="000B336D" w:rsidRPr="00C429DA" w:rsidRDefault="00A72296" w:rsidP="00C429DA">
      <w:pPr>
        <w:widowControl w:val="0"/>
        <w:autoSpaceDE w:val="0"/>
        <w:autoSpaceDN w:val="0"/>
        <w:adjustRightInd w:val="0"/>
        <w:spacing w:after="0"/>
        <w:jc w:val="both"/>
        <w:rPr>
          <w:rFonts w:asciiTheme="majorHAnsi" w:hAnsiTheme="majorHAnsi"/>
          <w:bCs/>
          <w:color w:val="000000"/>
          <w:sz w:val="22"/>
          <w:szCs w:val="22"/>
        </w:rPr>
      </w:pPr>
      <w:r w:rsidRPr="00C429DA">
        <w:rPr>
          <w:rFonts w:asciiTheme="majorHAnsi" w:hAnsiTheme="majorHAnsi" w:cs="Calibri"/>
          <w:sz w:val="22"/>
          <w:szCs w:val="22"/>
        </w:rPr>
        <w:t>This one-day colloquium</w:t>
      </w:r>
      <w:r w:rsidR="0077274C" w:rsidRPr="00C429DA">
        <w:rPr>
          <w:rFonts w:asciiTheme="majorHAnsi" w:hAnsiTheme="majorHAnsi" w:cs="Calibri"/>
          <w:sz w:val="22"/>
          <w:szCs w:val="22"/>
        </w:rPr>
        <w:t xml:space="preserve"> organised by the Department of Classics and Ancient History</w:t>
      </w:r>
      <w:r w:rsidR="00FF0532" w:rsidRPr="00C429DA">
        <w:rPr>
          <w:rFonts w:asciiTheme="majorHAnsi" w:hAnsiTheme="majorHAnsi" w:cs="Calibri"/>
          <w:sz w:val="22"/>
          <w:szCs w:val="22"/>
        </w:rPr>
        <w:t xml:space="preserve"> approach</w:t>
      </w:r>
      <w:r w:rsidRPr="00C429DA">
        <w:rPr>
          <w:rFonts w:asciiTheme="majorHAnsi" w:hAnsiTheme="majorHAnsi" w:cs="Calibri"/>
          <w:sz w:val="22"/>
          <w:szCs w:val="22"/>
        </w:rPr>
        <w:t>ed</w:t>
      </w:r>
      <w:r w:rsidR="00382C65" w:rsidRPr="00C429DA">
        <w:rPr>
          <w:rFonts w:asciiTheme="majorHAnsi" w:hAnsiTheme="majorHAnsi" w:cs="Calibri"/>
          <w:sz w:val="22"/>
          <w:szCs w:val="22"/>
        </w:rPr>
        <w:t xml:space="preserve"> the topic</w:t>
      </w:r>
      <w:r w:rsidRPr="00C429DA">
        <w:rPr>
          <w:rFonts w:asciiTheme="majorHAnsi" w:hAnsiTheme="majorHAnsi" w:cs="Calibri"/>
          <w:sz w:val="22"/>
          <w:szCs w:val="22"/>
        </w:rPr>
        <w:t xml:space="preserve"> in a different way</w:t>
      </w:r>
      <w:r w:rsidR="00FF0532" w:rsidRPr="00C429DA">
        <w:rPr>
          <w:rFonts w:asciiTheme="majorHAnsi" w:hAnsiTheme="majorHAnsi" w:cs="Calibri"/>
          <w:sz w:val="22"/>
          <w:szCs w:val="22"/>
        </w:rPr>
        <w:t xml:space="preserve">, </w:t>
      </w:r>
      <w:r w:rsidRPr="00C429DA">
        <w:rPr>
          <w:rFonts w:asciiTheme="majorHAnsi" w:hAnsiTheme="majorHAnsi" w:cs="Calibri"/>
          <w:sz w:val="22"/>
          <w:szCs w:val="22"/>
        </w:rPr>
        <w:t>looking at</w:t>
      </w:r>
      <w:r w:rsidR="00FF0532" w:rsidRPr="00C429DA">
        <w:rPr>
          <w:rFonts w:asciiTheme="majorHAnsi" w:hAnsiTheme="majorHAnsi" w:cs="Calibri"/>
          <w:sz w:val="22"/>
          <w:szCs w:val="22"/>
        </w:rPr>
        <w:t xml:space="preserve"> the relation between </w:t>
      </w:r>
      <w:r w:rsidR="00B424FB" w:rsidRPr="00C429DA">
        <w:rPr>
          <w:rFonts w:asciiTheme="majorHAnsi" w:hAnsiTheme="majorHAnsi" w:cs="Calibri"/>
          <w:sz w:val="22"/>
          <w:szCs w:val="22"/>
        </w:rPr>
        <w:t>coin</w:t>
      </w:r>
      <w:r w:rsidR="00FF0532" w:rsidRPr="00C429DA">
        <w:rPr>
          <w:rFonts w:asciiTheme="majorHAnsi" w:hAnsiTheme="majorHAnsi" w:cs="Calibri"/>
          <w:sz w:val="22"/>
          <w:szCs w:val="22"/>
        </w:rPr>
        <w:t xml:space="preserve"> designs and the imagery used on other ancient artefacts </w:t>
      </w:r>
      <w:r w:rsidR="007E2A70" w:rsidRPr="00C429DA">
        <w:rPr>
          <w:rFonts w:asciiTheme="majorHAnsi" w:hAnsiTheme="majorHAnsi" w:cs="Calibri"/>
          <w:sz w:val="22"/>
          <w:szCs w:val="22"/>
        </w:rPr>
        <w:t xml:space="preserve">that served as visual media, </w:t>
      </w:r>
      <w:r w:rsidR="00182623" w:rsidRPr="00C429DA">
        <w:rPr>
          <w:rFonts w:asciiTheme="majorHAnsi" w:hAnsiTheme="majorHAnsi" w:cs="Calibri"/>
          <w:sz w:val="22"/>
          <w:szCs w:val="22"/>
        </w:rPr>
        <w:t>from</w:t>
      </w:r>
      <w:r w:rsidR="007E2A70" w:rsidRPr="00C429DA">
        <w:rPr>
          <w:rFonts w:asciiTheme="majorHAnsi" w:hAnsiTheme="majorHAnsi" w:cs="Calibri"/>
          <w:sz w:val="22"/>
          <w:szCs w:val="22"/>
        </w:rPr>
        <w:t xml:space="preserve"> large-scale monum</w:t>
      </w:r>
      <w:r w:rsidR="00182623" w:rsidRPr="00C429DA">
        <w:rPr>
          <w:rFonts w:asciiTheme="majorHAnsi" w:hAnsiTheme="majorHAnsi" w:cs="Calibri"/>
          <w:sz w:val="22"/>
          <w:szCs w:val="22"/>
        </w:rPr>
        <w:t>ents (</w:t>
      </w:r>
      <w:r w:rsidR="00512779" w:rsidRPr="00C429DA">
        <w:rPr>
          <w:rFonts w:asciiTheme="majorHAnsi" w:hAnsiTheme="majorHAnsi" w:cs="Calibri"/>
          <w:sz w:val="22"/>
          <w:szCs w:val="22"/>
        </w:rPr>
        <w:t>sculptural</w:t>
      </w:r>
      <w:r w:rsidR="00182623" w:rsidRPr="00C429DA">
        <w:rPr>
          <w:rFonts w:asciiTheme="majorHAnsi" w:hAnsiTheme="majorHAnsi" w:cs="Calibri"/>
          <w:sz w:val="22"/>
          <w:szCs w:val="22"/>
        </w:rPr>
        <w:t xml:space="preserve"> reliefs) to</w:t>
      </w:r>
      <w:r w:rsidR="007E2A70" w:rsidRPr="00C429DA">
        <w:rPr>
          <w:rFonts w:asciiTheme="majorHAnsi" w:hAnsiTheme="majorHAnsi" w:cs="Calibri"/>
          <w:sz w:val="22"/>
          <w:szCs w:val="22"/>
        </w:rPr>
        <w:t xml:space="preserve"> </w:t>
      </w:r>
      <w:r w:rsidR="00182623" w:rsidRPr="00C429DA">
        <w:rPr>
          <w:rFonts w:asciiTheme="majorHAnsi" w:hAnsiTheme="majorHAnsi" w:cs="Calibri"/>
          <w:sz w:val="22"/>
          <w:szCs w:val="22"/>
        </w:rPr>
        <w:t>small objects for daily use (tokens)</w:t>
      </w:r>
      <w:r w:rsidR="00FF0532" w:rsidRPr="00C429DA">
        <w:rPr>
          <w:rFonts w:asciiTheme="majorHAnsi" w:hAnsiTheme="majorHAnsi" w:cs="Calibri"/>
          <w:sz w:val="22"/>
          <w:szCs w:val="22"/>
        </w:rPr>
        <w:t xml:space="preserve">. </w:t>
      </w:r>
      <w:r w:rsidR="00DA7D4D" w:rsidRPr="00C429DA">
        <w:rPr>
          <w:rFonts w:asciiTheme="majorHAnsi" w:hAnsiTheme="majorHAnsi" w:cs="Calibri"/>
          <w:sz w:val="22"/>
          <w:szCs w:val="22"/>
        </w:rPr>
        <w:t>S</w:t>
      </w:r>
      <w:r w:rsidR="00503A93" w:rsidRPr="00C429DA">
        <w:rPr>
          <w:rFonts w:asciiTheme="majorHAnsi" w:hAnsiTheme="majorHAnsi" w:cs="Calibri"/>
          <w:sz w:val="22"/>
          <w:szCs w:val="22"/>
        </w:rPr>
        <w:t xml:space="preserve">peakers from Warwick, </w:t>
      </w:r>
      <w:r w:rsidR="00DA7D4D" w:rsidRPr="00C429DA">
        <w:rPr>
          <w:rFonts w:asciiTheme="majorHAnsi" w:hAnsiTheme="majorHAnsi" w:cs="Calibri"/>
          <w:sz w:val="22"/>
          <w:szCs w:val="22"/>
        </w:rPr>
        <w:t xml:space="preserve">Oxford, UCL, King’s College, </w:t>
      </w:r>
      <w:r w:rsidR="00503A93" w:rsidRPr="00C429DA">
        <w:rPr>
          <w:rFonts w:asciiTheme="majorHAnsi" w:hAnsiTheme="majorHAnsi" w:cs="Calibri"/>
          <w:sz w:val="22"/>
          <w:szCs w:val="22"/>
        </w:rPr>
        <w:t>the British</w:t>
      </w:r>
      <w:r w:rsidR="00DA7D4D" w:rsidRPr="00C429DA">
        <w:rPr>
          <w:rFonts w:asciiTheme="majorHAnsi" w:hAnsiTheme="majorHAnsi" w:cs="Calibri"/>
          <w:sz w:val="22"/>
          <w:szCs w:val="22"/>
        </w:rPr>
        <w:t xml:space="preserve"> Museum and the University of Messina</w:t>
      </w:r>
      <w:r w:rsidR="00503A93" w:rsidRPr="00C429DA">
        <w:rPr>
          <w:rFonts w:asciiTheme="majorHAnsi" w:hAnsiTheme="majorHAnsi" w:cs="Calibri"/>
          <w:sz w:val="22"/>
          <w:szCs w:val="22"/>
        </w:rPr>
        <w:t xml:space="preserve"> </w:t>
      </w:r>
      <w:r w:rsidR="001F2DD6" w:rsidRPr="00C429DA">
        <w:rPr>
          <w:rFonts w:asciiTheme="majorHAnsi" w:hAnsiTheme="majorHAnsi" w:cs="Calibri"/>
          <w:sz w:val="22"/>
          <w:szCs w:val="22"/>
        </w:rPr>
        <w:t>discussed</w:t>
      </w:r>
      <w:r w:rsidR="00F10F32" w:rsidRPr="00C429DA">
        <w:rPr>
          <w:rFonts w:asciiTheme="majorHAnsi" w:hAnsiTheme="majorHAnsi" w:cs="Calibri"/>
          <w:sz w:val="22"/>
          <w:szCs w:val="22"/>
        </w:rPr>
        <w:t xml:space="preserve"> examples </w:t>
      </w:r>
      <w:r w:rsidR="00DA7D4D" w:rsidRPr="00C429DA">
        <w:rPr>
          <w:rFonts w:asciiTheme="majorHAnsi" w:hAnsiTheme="majorHAnsi" w:cs="Calibri"/>
          <w:sz w:val="22"/>
          <w:szCs w:val="22"/>
        </w:rPr>
        <w:t>ranging</w:t>
      </w:r>
      <w:r w:rsidR="00802DDE" w:rsidRPr="00C429DA">
        <w:rPr>
          <w:rFonts w:asciiTheme="majorHAnsi" w:hAnsiTheme="majorHAnsi" w:cs="Calibri"/>
          <w:sz w:val="22"/>
          <w:szCs w:val="22"/>
        </w:rPr>
        <w:t xml:space="preserve"> </w:t>
      </w:r>
      <w:r w:rsidR="00503A93" w:rsidRPr="00C429DA">
        <w:rPr>
          <w:rFonts w:asciiTheme="majorHAnsi" w:hAnsiTheme="majorHAnsi" w:cs="Calibri"/>
          <w:sz w:val="22"/>
          <w:szCs w:val="22"/>
        </w:rPr>
        <w:t>from 6</w:t>
      </w:r>
      <w:r w:rsidR="00503A93" w:rsidRPr="00C429DA">
        <w:rPr>
          <w:rFonts w:asciiTheme="majorHAnsi" w:hAnsiTheme="majorHAnsi" w:cs="Calibri"/>
          <w:sz w:val="22"/>
          <w:szCs w:val="22"/>
          <w:vertAlign w:val="superscript"/>
        </w:rPr>
        <w:t>th</w:t>
      </w:r>
      <w:r w:rsidR="00503A93" w:rsidRPr="00C429DA">
        <w:rPr>
          <w:rFonts w:asciiTheme="majorHAnsi" w:hAnsiTheme="majorHAnsi" w:cs="Calibri"/>
          <w:sz w:val="22"/>
          <w:szCs w:val="22"/>
        </w:rPr>
        <w:t xml:space="preserve"> century BC</w:t>
      </w:r>
      <w:r w:rsidR="00DA7D4D" w:rsidRPr="00C429DA">
        <w:rPr>
          <w:rFonts w:asciiTheme="majorHAnsi" w:hAnsiTheme="majorHAnsi" w:cs="Calibri"/>
          <w:sz w:val="22"/>
          <w:szCs w:val="22"/>
        </w:rPr>
        <w:t xml:space="preserve"> Near East</w:t>
      </w:r>
      <w:r w:rsidR="00503A93" w:rsidRPr="00C429DA">
        <w:rPr>
          <w:rFonts w:asciiTheme="majorHAnsi" w:hAnsiTheme="majorHAnsi" w:cs="Calibri"/>
          <w:sz w:val="22"/>
          <w:szCs w:val="22"/>
        </w:rPr>
        <w:t xml:space="preserve"> to the Italian Quattrocento</w:t>
      </w:r>
      <w:r w:rsidR="005D4DF9" w:rsidRPr="00C429DA">
        <w:rPr>
          <w:rFonts w:asciiTheme="majorHAnsi" w:hAnsiTheme="majorHAnsi" w:cs="Calibri"/>
          <w:sz w:val="22"/>
          <w:szCs w:val="22"/>
        </w:rPr>
        <w:t>. The morning</w:t>
      </w:r>
      <w:r w:rsidR="00512779" w:rsidRPr="00C429DA">
        <w:rPr>
          <w:rFonts w:asciiTheme="majorHAnsi" w:hAnsiTheme="majorHAnsi" w:cs="Calibri"/>
          <w:sz w:val="22"/>
          <w:szCs w:val="22"/>
        </w:rPr>
        <w:t xml:space="preserve"> session, </w:t>
      </w:r>
      <w:r w:rsidR="005D4DF9" w:rsidRPr="00C429DA">
        <w:rPr>
          <w:rFonts w:asciiTheme="majorHAnsi" w:hAnsiTheme="majorHAnsi" w:cs="Calibri"/>
          <w:i/>
          <w:sz w:val="22"/>
          <w:szCs w:val="22"/>
        </w:rPr>
        <w:t>R</w:t>
      </w:r>
      <w:r w:rsidR="005D4DF9" w:rsidRPr="00C429DA">
        <w:rPr>
          <w:rFonts w:asciiTheme="majorHAnsi" w:hAnsiTheme="majorHAnsi"/>
          <w:bCs/>
          <w:i/>
          <w:color w:val="000000"/>
          <w:sz w:val="22"/>
          <w:szCs w:val="22"/>
        </w:rPr>
        <w:t>oyal and Imperial Imagery between the Near East and the Roman World</w:t>
      </w:r>
      <w:r w:rsidR="00802DD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, </w:t>
      </w:r>
      <w:r w:rsidR="00512779" w:rsidRPr="00C429DA">
        <w:rPr>
          <w:rFonts w:asciiTheme="majorHAnsi" w:hAnsiTheme="majorHAnsi"/>
          <w:bCs/>
          <w:color w:val="000000"/>
          <w:sz w:val="22"/>
          <w:szCs w:val="22"/>
        </w:rPr>
        <w:t>discussed how</w:t>
      </w:r>
      <w:r w:rsidR="003903B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the</w:t>
      </w:r>
      <w:r w:rsidR="00512779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</w:t>
      </w:r>
      <w:r w:rsidR="003903B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imagery adopted </w:t>
      </w:r>
      <w:r w:rsidR="00512779" w:rsidRPr="00C429DA">
        <w:rPr>
          <w:rFonts w:asciiTheme="majorHAnsi" w:hAnsiTheme="majorHAnsi"/>
          <w:bCs/>
          <w:color w:val="000000"/>
          <w:sz w:val="22"/>
          <w:szCs w:val="22"/>
        </w:rPr>
        <w:t>on the coinages of</w:t>
      </w:r>
      <w:r w:rsidR="003903B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Persian kings, Celtic elites and late Roman emperors was primarily inspired by iconography designed for monumental</w:t>
      </w:r>
      <w:r w:rsidR="00802DD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</w:t>
      </w:r>
      <w:r w:rsidR="003903B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media. Conversely, the first afternoon session on </w:t>
      </w:r>
      <w:r w:rsidR="00B424FB" w:rsidRPr="00C429DA">
        <w:rPr>
          <w:rFonts w:asciiTheme="majorHAnsi" w:hAnsiTheme="majorHAnsi"/>
          <w:bCs/>
          <w:i/>
          <w:color w:val="000000"/>
          <w:sz w:val="22"/>
          <w:szCs w:val="22"/>
        </w:rPr>
        <w:t>‘Functional’ Imagery in Greece and Rome’s Everyday Life</w:t>
      </w:r>
      <w:r w:rsidR="007317D9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</w:t>
      </w:r>
      <w:r w:rsidR="00F94536" w:rsidRPr="00C429DA">
        <w:rPr>
          <w:rFonts w:asciiTheme="majorHAnsi" w:hAnsiTheme="majorHAnsi"/>
          <w:bCs/>
          <w:color w:val="000000"/>
          <w:sz w:val="22"/>
          <w:szCs w:val="22"/>
        </w:rPr>
        <w:t>showed that</w:t>
      </w:r>
      <w:r w:rsidR="003903B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designs </w:t>
      </w:r>
      <w:r w:rsidR="00B009A9" w:rsidRPr="00C429DA">
        <w:rPr>
          <w:rFonts w:asciiTheme="majorHAnsi" w:hAnsiTheme="majorHAnsi"/>
          <w:bCs/>
          <w:color w:val="000000"/>
          <w:sz w:val="22"/>
          <w:szCs w:val="22"/>
        </w:rPr>
        <w:t>adopted</w:t>
      </w:r>
      <w:r w:rsidR="00B64D8C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on tokens or</w:t>
      </w:r>
      <w:r w:rsidR="003903B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</w:t>
      </w:r>
      <w:r w:rsidR="00512779" w:rsidRPr="00C429DA">
        <w:rPr>
          <w:rFonts w:asciiTheme="majorHAnsi" w:hAnsiTheme="majorHAnsi"/>
          <w:bCs/>
          <w:color w:val="000000"/>
          <w:sz w:val="22"/>
          <w:szCs w:val="22"/>
        </w:rPr>
        <w:t>on</w:t>
      </w:r>
      <w:r w:rsidR="003903B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</w:t>
      </w:r>
      <w:r w:rsidR="00512779" w:rsidRPr="00C429DA">
        <w:rPr>
          <w:rFonts w:asciiTheme="majorHAnsi" w:hAnsiTheme="majorHAnsi"/>
          <w:bCs/>
          <w:color w:val="000000"/>
          <w:sz w:val="22"/>
          <w:szCs w:val="22"/>
        </w:rPr>
        <w:t>objects used in trade and</w:t>
      </w:r>
      <w:r w:rsidR="00B64D8C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constructions</w:t>
      </w:r>
      <w:r w:rsidR="003903B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</w:t>
      </w:r>
      <w:r w:rsidR="00B64D8C" w:rsidRPr="00C429DA">
        <w:rPr>
          <w:rFonts w:asciiTheme="majorHAnsi" w:hAnsiTheme="majorHAnsi"/>
          <w:bCs/>
          <w:color w:val="000000"/>
          <w:sz w:val="22"/>
          <w:szCs w:val="22"/>
        </w:rPr>
        <w:t>(</w:t>
      </w:r>
      <w:r w:rsidR="003903BE" w:rsidRPr="00C429DA">
        <w:rPr>
          <w:rFonts w:asciiTheme="majorHAnsi" w:hAnsiTheme="majorHAnsi"/>
          <w:bCs/>
          <w:color w:val="000000"/>
          <w:sz w:val="22"/>
          <w:szCs w:val="22"/>
        </w:rPr>
        <w:t>such</w:t>
      </w:r>
      <w:r w:rsidR="00B64D8C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as amphorae and</w:t>
      </w:r>
      <w:r w:rsidR="003903B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tiles</w:t>
      </w:r>
      <w:r w:rsidR="00F94536" w:rsidRPr="00C429DA">
        <w:rPr>
          <w:rFonts w:asciiTheme="majorHAnsi" w:hAnsiTheme="majorHAnsi"/>
          <w:bCs/>
          <w:color w:val="000000"/>
          <w:sz w:val="22"/>
          <w:szCs w:val="22"/>
        </w:rPr>
        <w:t>)</w:t>
      </w:r>
      <w:r w:rsidR="00B64D8C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clearly copied </w:t>
      </w:r>
      <w:r w:rsidR="00B009A9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contemporary </w:t>
      </w:r>
      <w:r w:rsidR="00B64D8C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coin types. </w:t>
      </w:r>
      <w:r w:rsidR="00AF37C9" w:rsidRPr="00C429DA">
        <w:rPr>
          <w:rFonts w:asciiTheme="majorHAnsi" w:hAnsiTheme="majorHAnsi"/>
          <w:bCs/>
          <w:color w:val="000000"/>
          <w:sz w:val="22"/>
          <w:szCs w:val="22"/>
        </w:rPr>
        <w:t>The session</w:t>
      </w:r>
      <w:r w:rsidR="003903BE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</w:t>
      </w:r>
      <w:r w:rsidR="007317D9" w:rsidRPr="00C429DA">
        <w:rPr>
          <w:rFonts w:asciiTheme="majorHAnsi" w:hAnsiTheme="majorHAnsi"/>
          <w:bCs/>
          <w:i/>
          <w:color w:val="000000"/>
          <w:sz w:val="22"/>
          <w:szCs w:val="22"/>
        </w:rPr>
        <w:t>Sacred and Ceremonial Visual Language in the Roman East</w:t>
      </w:r>
      <w:r w:rsidR="00AF37C9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focused on coin imagery echoing the iconography of sculptural decorations on temples and </w:t>
      </w:r>
      <w:r w:rsidR="002A0984" w:rsidRPr="00C429DA">
        <w:rPr>
          <w:rFonts w:asciiTheme="majorHAnsi" w:hAnsiTheme="majorHAnsi"/>
          <w:bCs/>
          <w:color w:val="000000"/>
          <w:sz w:val="22"/>
          <w:szCs w:val="22"/>
        </w:rPr>
        <w:t>theatres</w:t>
      </w:r>
      <w:r w:rsidR="00AF37C9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in Asia Minor </w:t>
      </w:r>
      <w:r w:rsidR="00394BE3" w:rsidRPr="00C429DA">
        <w:rPr>
          <w:rFonts w:asciiTheme="majorHAnsi" w:hAnsiTheme="majorHAnsi"/>
          <w:bCs/>
          <w:color w:val="000000"/>
          <w:sz w:val="22"/>
          <w:szCs w:val="22"/>
        </w:rPr>
        <w:t>as part of</w:t>
      </w:r>
      <w:r w:rsidR="002A0984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local</w:t>
      </w:r>
      <w:r w:rsidR="00AF37C9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religious festivals</w:t>
      </w:r>
      <w:r w:rsidR="00394BE3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celebrations</w:t>
      </w:r>
      <w:r w:rsidR="00AF37C9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. </w:t>
      </w:r>
      <w:r w:rsidR="00867D42" w:rsidRPr="00C429DA">
        <w:rPr>
          <w:rFonts w:asciiTheme="majorHAnsi" w:hAnsiTheme="majorHAnsi"/>
          <w:bCs/>
          <w:color w:val="000000"/>
          <w:sz w:val="22"/>
          <w:szCs w:val="22"/>
        </w:rPr>
        <w:t>The closing session</w:t>
      </w:r>
      <w:r w:rsidR="00080AAA" w:rsidRPr="00C429DA">
        <w:rPr>
          <w:rFonts w:asciiTheme="majorHAnsi" w:hAnsiTheme="majorHAnsi"/>
          <w:bCs/>
          <w:color w:val="000000"/>
          <w:sz w:val="22"/>
          <w:szCs w:val="22"/>
        </w:rPr>
        <w:t>,</w:t>
      </w:r>
      <w:r w:rsidR="00867D42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</w:t>
      </w:r>
      <w:r w:rsidR="00867D42" w:rsidRPr="00C429DA">
        <w:rPr>
          <w:rFonts w:asciiTheme="majorHAnsi" w:hAnsiTheme="majorHAnsi"/>
          <w:bCs/>
          <w:i/>
          <w:color w:val="000000"/>
          <w:sz w:val="22"/>
          <w:szCs w:val="22"/>
        </w:rPr>
        <w:t>The Aftermath and Reception of Rome</w:t>
      </w:r>
      <w:r w:rsidR="00080AAA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, </w:t>
      </w:r>
      <w:r w:rsidR="00867D42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gave </w:t>
      </w:r>
      <w:r w:rsidR="00512779" w:rsidRPr="00C429DA">
        <w:rPr>
          <w:rFonts w:asciiTheme="majorHAnsi" w:hAnsiTheme="majorHAnsi"/>
          <w:bCs/>
          <w:color w:val="000000"/>
          <w:sz w:val="22"/>
          <w:szCs w:val="22"/>
        </w:rPr>
        <w:t>new</w:t>
      </w:r>
      <w:r w:rsidR="00867D42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insigh</w:t>
      </w:r>
      <w:r w:rsidR="00512779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t into the </w:t>
      </w:r>
      <w:r w:rsidR="001C41B8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phenomenon </w:t>
      </w:r>
      <w:r w:rsidR="00512779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of </w:t>
      </w:r>
      <w:r w:rsidR="001C41B8" w:rsidRPr="00C429DA">
        <w:rPr>
          <w:rFonts w:asciiTheme="majorHAnsi" w:hAnsiTheme="majorHAnsi"/>
          <w:bCs/>
          <w:color w:val="000000"/>
          <w:sz w:val="22"/>
          <w:szCs w:val="22"/>
        </w:rPr>
        <w:t>revival and reinterpretation</w:t>
      </w:r>
      <w:r w:rsidR="00867D42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of Roman coin designs in the </w:t>
      </w:r>
      <w:proofErr w:type="gramStart"/>
      <w:r w:rsidR="00867D42" w:rsidRPr="00C429DA">
        <w:rPr>
          <w:rFonts w:asciiTheme="majorHAnsi" w:hAnsiTheme="majorHAnsi"/>
          <w:bCs/>
          <w:color w:val="000000"/>
          <w:sz w:val="22"/>
          <w:szCs w:val="22"/>
        </w:rPr>
        <w:t>Middle</w:t>
      </w:r>
      <w:proofErr w:type="gramEnd"/>
      <w:r w:rsidR="00867D42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Age</w:t>
      </w:r>
      <w:r w:rsidR="00857825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s and </w:t>
      </w:r>
      <w:r w:rsidR="00DA2B93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the </w:t>
      </w:r>
      <w:r w:rsidR="00857825" w:rsidRPr="00C429DA">
        <w:rPr>
          <w:rFonts w:asciiTheme="majorHAnsi" w:hAnsiTheme="majorHAnsi"/>
          <w:bCs/>
          <w:color w:val="000000"/>
          <w:sz w:val="22"/>
          <w:szCs w:val="22"/>
        </w:rPr>
        <w:t>Renaissance as</w:t>
      </w:r>
      <w:r w:rsidR="001C41B8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an</w:t>
      </w:r>
      <w:r w:rsidR="00857825" w:rsidRPr="00C429DA">
        <w:rPr>
          <w:rFonts w:asciiTheme="majorHAnsi" w:hAnsiTheme="majorHAnsi"/>
          <w:bCs/>
          <w:color w:val="000000"/>
          <w:sz w:val="22"/>
          <w:szCs w:val="22"/>
        </w:rPr>
        <w:t xml:space="preserve"> expression of tradition and prestige.</w:t>
      </w:r>
    </w:p>
    <w:p w14:paraId="329A9E1F" w14:textId="77777777" w:rsidR="00C429DA" w:rsidRDefault="00C429DA" w:rsidP="00C429DA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</w:p>
    <w:p w14:paraId="39305C2E" w14:textId="305B1DFF" w:rsidR="00C429DA" w:rsidRPr="00C429DA" w:rsidRDefault="00C429DA" w:rsidP="00C429DA">
      <w:pPr>
        <w:pStyle w:val="NormalWeb"/>
        <w:spacing w:before="0" w:beforeAutospacing="0" w:after="0" w:afterAutospacing="0"/>
        <w:jc w:val="right"/>
        <w:rPr>
          <w:rFonts w:ascii="Calibri" w:hAnsi="Calibri" w:cs="Calibri"/>
          <w:color w:val="000000"/>
          <w:sz w:val="22"/>
          <w:szCs w:val="22"/>
        </w:rPr>
      </w:pPr>
      <w:r w:rsidRPr="00C429DA">
        <w:rPr>
          <w:rFonts w:ascii="Calibri" w:hAnsi="Calibri" w:cs="Calibri"/>
          <w:color w:val="000000"/>
          <w:sz w:val="22"/>
          <w:szCs w:val="22"/>
        </w:rPr>
        <w:t>Dario Calomino</w:t>
      </w:r>
    </w:p>
    <w:p w14:paraId="1E7D33DD" w14:textId="3A802FD9" w:rsidR="00C429DA" w:rsidRPr="00C429DA" w:rsidRDefault="00C429DA" w:rsidP="00C429DA">
      <w:pPr>
        <w:pStyle w:val="NormalWeb"/>
        <w:spacing w:before="0" w:beforeAutospacing="0" w:after="0" w:afterAutospacing="0"/>
        <w:jc w:val="right"/>
        <w:rPr>
          <w:rFonts w:ascii="Calibri" w:hAnsi="Calibri" w:cs="Calibri"/>
          <w:color w:val="000000"/>
          <w:sz w:val="22"/>
          <w:szCs w:val="22"/>
        </w:rPr>
      </w:pPr>
      <w:r w:rsidRPr="00C429DA">
        <w:rPr>
          <w:rFonts w:ascii="Calibri" w:hAnsi="Calibri" w:cs="Calibri"/>
          <w:color w:val="000000"/>
          <w:sz w:val="22"/>
          <w:szCs w:val="22"/>
        </w:rPr>
        <w:t>Classics and Ancient History</w:t>
      </w:r>
    </w:p>
    <w:p w14:paraId="522C92B6" w14:textId="77777777" w:rsidR="00C429DA" w:rsidRPr="00C429DA" w:rsidRDefault="00C429DA" w:rsidP="00C429DA">
      <w:pPr>
        <w:widowControl w:val="0"/>
        <w:autoSpaceDE w:val="0"/>
        <w:autoSpaceDN w:val="0"/>
        <w:adjustRightInd w:val="0"/>
        <w:spacing w:after="0"/>
        <w:jc w:val="both"/>
        <w:rPr>
          <w:rFonts w:asciiTheme="majorHAnsi" w:hAnsiTheme="majorHAnsi"/>
          <w:sz w:val="22"/>
          <w:szCs w:val="22"/>
        </w:rPr>
      </w:pPr>
    </w:p>
    <w:sectPr w:rsidR="00C429DA" w:rsidRPr="00C429DA" w:rsidSect="00CF5438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Times Roman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DDC"/>
    <w:rsid w:val="00080AAA"/>
    <w:rsid w:val="0008484D"/>
    <w:rsid w:val="000B336D"/>
    <w:rsid w:val="000C3802"/>
    <w:rsid w:val="000F3C2E"/>
    <w:rsid w:val="00126425"/>
    <w:rsid w:val="00127D53"/>
    <w:rsid w:val="00160679"/>
    <w:rsid w:val="00182623"/>
    <w:rsid w:val="001C41B8"/>
    <w:rsid w:val="001F2DD6"/>
    <w:rsid w:val="0025393D"/>
    <w:rsid w:val="002A0984"/>
    <w:rsid w:val="003356BA"/>
    <w:rsid w:val="0037526E"/>
    <w:rsid w:val="00382C65"/>
    <w:rsid w:val="00385960"/>
    <w:rsid w:val="003903BE"/>
    <w:rsid w:val="00394BE3"/>
    <w:rsid w:val="003A2F83"/>
    <w:rsid w:val="003C329B"/>
    <w:rsid w:val="003D4E49"/>
    <w:rsid w:val="003D5108"/>
    <w:rsid w:val="003D6D7F"/>
    <w:rsid w:val="00436F86"/>
    <w:rsid w:val="00466399"/>
    <w:rsid w:val="004711A3"/>
    <w:rsid w:val="00503A93"/>
    <w:rsid w:val="0050510C"/>
    <w:rsid w:val="00512779"/>
    <w:rsid w:val="005362D2"/>
    <w:rsid w:val="005A32B4"/>
    <w:rsid w:val="005B68AA"/>
    <w:rsid w:val="005D4DF9"/>
    <w:rsid w:val="005F18D4"/>
    <w:rsid w:val="006C0AFE"/>
    <w:rsid w:val="006F4895"/>
    <w:rsid w:val="007207D4"/>
    <w:rsid w:val="007213E9"/>
    <w:rsid w:val="007317D9"/>
    <w:rsid w:val="0077274C"/>
    <w:rsid w:val="007E2A70"/>
    <w:rsid w:val="00802DDE"/>
    <w:rsid w:val="00807F24"/>
    <w:rsid w:val="008219DE"/>
    <w:rsid w:val="00857825"/>
    <w:rsid w:val="00867D42"/>
    <w:rsid w:val="00876E4D"/>
    <w:rsid w:val="008B44F0"/>
    <w:rsid w:val="008C75A6"/>
    <w:rsid w:val="008F26BB"/>
    <w:rsid w:val="009B4690"/>
    <w:rsid w:val="009F5BB6"/>
    <w:rsid w:val="00A34316"/>
    <w:rsid w:val="00A7189E"/>
    <w:rsid w:val="00A72296"/>
    <w:rsid w:val="00AF37C9"/>
    <w:rsid w:val="00B009A9"/>
    <w:rsid w:val="00B118FC"/>
    <w:rsid w:val="00B424FB"/>
    <w:rsid w:val="00B4547B"/>
    <w:rsid w:val="00B64D8C"/>
    <w:rsid w:val="00BB0C49"/>
    <w:rsid w:val="00BB31C1"/>
    <w:rsid w:val="00C429DA"/>
    <w:rsid w:val="00CA1DDC"/>
    <w:rsid w:val="00CD7664"/>
    <w:rsid w:val="00CF32B4"/>
    <w:rsid w:val="00CF5438"/>
    <w:rsid w:val="00D12154"/>
    <w:rsid w:val="00D815D5"/>
    <w:rsid w:val="00DA2B93"/>
    <w:rsid w:val="00DA7D4D"/>
    <w:rsid w:val="00DB2B96"/>
    <w:rsid w:val="00E51B12"/>
    <w:rsid w:val="00E7162F"/>
    <w:rsid w:val="00E974AB"/>
    <w:rsid w:val="00EB2D86"/>
    <w:rsid w:val="00EB7022"/>
    <w:rsid w:val="00F06107"/>
    <w:rsid w:val="00F10F32"/>
    <w:rsid w:val="00F74F7E"/>
    <w:rsid w:val="00F91CA7"/>
    <w:rsid w:val="00F94536"/>
    <w:rsid w:val="00FD5C12"/>
    <w:rsid w:val="00FF0532"/>
    <w:rsid w:val="00FF310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D893DCC"/>
  <w15:docId w15:val="{8BFF4646-CF44-4754-BC11-042EBCA36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18FC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7526E"/>
    <w:pPr>
      <w:spacing w:before="100" w:beforeAutospacing="1" w:after="100" w:afterAutospacing="1"/>
    </w:pPr>
    <w:rPr>
      <w:rFonts w:ascii="Times" w:hAnsi="Times" w:cs="Times New Roman"/>
      <w:sz w:val="20"/>
      <w:szCs w:val="20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12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6B574123</Template>
  <TotalTime>0</TotalTime>
  <Pages>1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Dario Calomino</dc:creator>
  <cp:keywords/>
  <dc:description/>
  <cp:lastModifiedBy>Rae, Sue</cp:lastModifiedBy>
  <cp:revision>2</cp:revision>
  <dcterms:created xsi:type="dcterms:W3CDTF">2019-06-25T09:31:00Z</dcterms:created>
  <dcterms:modified xsi:type="dcterms:W3CDTF">2019-06-25T09:31:00Z</dcterms:modified>
</cp:coreProperties>
</file>