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93E2FB" w14:textId="6360029A" w:rsidR="0040480D" w:rsidRPr="001B5834" w:rsidRDefault="0040480D" w:rsidP="0040480D">
      <w:pPr>
        <w:jc w:val="center"/>
        <w:rPr>
          <w:rFonts w:ascii="Times New Roman" w:hAnsi="Times New Roman" w:cs="Times New Roman"/>
          <w:u w:val="single"/>
        </w:rPr>
      </w:pPr>
      <w:r w:rsidRPr="001B5834">
        <w:rPr>
          <w:rFonts w:ascii="Times New Roman" w:hAnsi="Times New Roman" w:cs="Times New Roman"/>
          <w:u w:val="single"/>
        </w:rPr>
        <w:t>Saying Nothing to Say: Conference Report</w:t>
      </w:r>
    </w:p>
    <w:p w14:paraId="7E3F8AC4" w14:textId="63589689" w:rsidR="00AD3669" w:rsidRPr="009552D2" w:rsidRDefault="00144007" w:rsidP="000B6EBA">
      <w:pPr>
        <w:jc w:val="both"/>
        <w:rPr>
          <w:rFonts w:ascii="Times New Roman" w:hAnsi="Times New Roman" w:cs="Times New Roman"/>
        </w:rPr>
      </w:pPr>
      <w:r w:rsidRPr="009552D2">
        <w:rPr>
          <w:rFonts w:ascii="Times New Roman" w:hAnsi="Times New Roman" w:cs="Times New Roman"/>
          <w:i/>
          <w:iCs/>
        </w:rPr>
        <w:t>Saying Nothing to Say: Sense, Silence, and Impossible Texts in the Twentieth Century</w:t>
      </w:r>
      <w:r w:rsidRPr="009552D2">
        <w:rPr>
          <w:rFonts w:ascii="Times New Roman" w:hAnsi="Times New Roman" w:cs="Times New Roman"/>
        </w:rPr>
        <w:t xml:space="preserve"> was an interdisciplinary conference held at the University of Warwick on Saturday, the 13th of May 2023.</w:t>
      </w:r>
      <w:r w:rsidR="00331E14" w:rsidRPr="009552D2">
        <w:rPr>
          <w:rFonts w:ascii="Times New Roman" w:hAnsi="Times New Roman" w:cs="Times New Roman"/>
        </w:rPr>
        <w:t xml:space="preserve"> </w:t>
      </w:r>
    </w:p>
    <w:p w14:paraId="249DC56B" w14:textId="6277147F" w:rsidR="002A4AA0" w:rsidRPr="009552D2" w:rsidRDefault="00331E14" w:rsidP="000B6EBA">
      <w:pPr>
        <w:jc w:val="both"/>
        <w:rPr>
          <w:rFonts w:ascii="Times New Roman" w:hAnsi="Times New Roman" w:cs="Times New Roman"/>
        </w:rPr>
      </w:pPr>
      <w:r w:rsidRPr="009552D2">
        <w:rPr>
          <w:rFonts w:ascii="Times New Roman" w:hAnsi="Times New Roman" w:cs="Times New Roman"/>
        </w:rPr>
        <w:t xml:space="preserve">The conference’s aim </w:t>
      </w:r>
      <w:r w:rsidR="00274C2C" w:rsidRPr="009552D2">
        <w:rPr>
          <w:rFonts w:ascii="Times New Roman" w:hAnsi="Times New Roman" w:cs="Times New Roman"/>
        </w:rPr>
        <w:t xml:space="preserve">was to bring scholars </w:t>
      </w:r>
      <w:r w:rsidR="0040480D">
        <w:rPr>
          <w:rFonts w:ascii="Times New Roman" w:hAnsi="Times New Roman" w:cs="Times New Roman"/>
        </w:rPr>
        <w:t xml:space="preserve">from across the world </w:t>
      </w:r>
      <w:r w:rsidR="00274C2C" w:rsidRPr="009552D2">
        <w:rPr>
          <w:rFonts w:ascii="Times New Roman" w:hAnsi="Times New Roman" w:cs="Times New Roman"/>
        </w:rPr>
        <w:t>together to discuss the weight of the ‘imperative of silence’, to borrow Susan Sontag’s phrase, on the so-called “age of noise”</w:t>
      </w:r>
      <w:r w:rsidR="00E46554">
        <w:rPr>
          <w:rFonts w:ascii="Times New Roman" w:hAnsi="Times New Roman" w:cs="Times New Roman"/>
        </w:rPr>
        <w:t>, the twentieth century</w:t>
      </w:r>
      <w:r w:rsidR="00274C2C" w:rsidRPr="009552D2">
        <w:rPr>
          <w:rFonts w:ascii="Times New Roman" w:hAnsi="Times New Roman" w:cs="Times New Roman"/>
        </w:rPr>
        <w:t>.</w:t>
      </w:r>
      <w:r w:rsidR="00BF0062">
        <w:rPr>
          <w:rStyle w:val="FootnoteReference"/>
          <w:rFonts w:ascii="Times New Roman" w:hAnsi="Times New Roman" w:cs="Times New Roman"/>
        </w:rPr>
        <w:footnoteReference w:id="1"/>
      </w:r>
      <w:r w:rsidR="00274C2C" w:rsidRPr="009552D2">
        <w:rPr>
          <w:rFonts w:ascii="Times New Roman" w:hAnsi="Times New Roman" w:cs="Times New Roman"/>
        </w:rPr>
        <w:t xml:space="preserve"> </w:t>
      </w:r>
      <w:r w:rsidR="00AD3669" w:rsidRPr="009552D2">
        <w:rPr>
          <w:rFonts w:ascii="Times New Roman" w:hAnsi="Times New Roman" w:cs="Times New Roman"/>
        </w:rPr>
        <w:t>As Sontag writes, ‘[t]he art of our time is noisy with appeals for silence […] Discovering that one has nothing to say, one seeks a way to say that’</w:t>
      </w:r>
      <w:r w:rsidR="0025009C">
        <w:rPr>
          <w:rFonts w:ascii="Times New Roman" w:hAnsi="Times New Roman" w:cs="Times New Roman"/>
        </w:rPr>
        <w:t xml:space="preserve">, </w:t>
      </w:r>
      <w:r w:rsidR="00AD3669" w:rsidRPr="009552D2">
        <w:rPr>
          <w:rFonts w:ascii="Times New Roman" w:hAnsi="Times New Roman" w:cs="Times New Roman"/>
        </w:rPr>
        <w:t>or as Wittgenstein put it, ‘</w:t>
      </w:r>
      <w:r w:rsidR="0002352A" w:rsidRPr="009552D2">
        <w:rPr>
          <w:rFonts w:ascii="Times New Roman" w:hAnsi="Times New Roman" w:cs="Times New Roman"/>
          <w:shd w:val="clear" w:color="auto" w:fill="FFFFFF"/>
        </w:rPr>
        <w:t>[i]</w:t>
      </w:r>
      <w:r w:rsidR="00AD3669" w:rsidRPr="009552D2">
        <w:rPr>
          <w:rFonts w:ascii="Times New Roman" w:hAnsi="Times New Roman" w:cs="Times New Roman"/>
          <w:shd w:val="clear" w:color="auto" w:fill="FFFFFF"/>
        </w:rPr>
        <w:t>n art it is hard to say anything as good as: saying nothing’</w:t>
      </w:r>
      <w:r w:rsidR="0025009C">
        <w:rPr>
          <w:rFonts w:ascii="Times New Roman" w:hAnsi="Times New Roman" w:cs="Times New Roman"/>
        </w:rPr>
        <w:t>,</w:t>
      </w:r>
      <w:r w:rsidR="00AD3669" w:rsidRPr="009552D2">
        <w:rPr>
          <w:rFonts w:ascii="Times New Roman" w:hAnsi="Times New Roman" w:cs="Times New Roman"/>
        </w:rPr>
        <w:t xml:space="preserve"> or in John Cage’s famous words, </w:t>
      </w:r>
      <w:r w:rsidR="00B4055D" w:rsidRPr="009552D2">
        <w:rPr>
          <w:rFonts w:ascii="Times New Roman" w:hAnsi="Times New Roman" w:cs="Times New Roman"/>
        </w:rPr>
        <w:t>‘I have nothing to say and I am saying it and that is poetry as I need it’</w:t>
      </w:r>
      <w:r w:rsidR="00AD3669" w:rsidRPr="009552D2">
        <w:rPr>
          <w:rFonts w:ascii="Times New Roman" w:hAnsi="Times New Roman" w:cs="Times New Roman"/>
        </w:rPr>
        <w:t>.</w:t>
      </w:r>
      <w:r w:rsidR="00BC4541">
        <w:rPr>
          <w:rStyle w:val="FootnoteReference"/>
          <w:rFonts w:ascii="Times New Roman" w:hAnsi="Times New Roman" w:cs="Times New Roman"/>
        </w:rPr>
        <w:footnoteReference w:id="2"/>
      </w:r>
      <w:r w:rsidR="00AD3669" w:rsidRPr="009552D2">
        <w:rPr>
          <w:rFonts w:ascii="Times New Roman" w:hAnsi="Times New Roman" w:cs="Times New Roman"/>
        </w:rPr>
        <w:t xml:space="preserve"> </w:t>
      </w:r>
    </w:p>
    <w:p w14:paraId="352884E6" w14:textId="007322E4" w:rsidR="005E6B00" w:rsidRDefault="002A4AA0" w:rsidP="008D3D05">
      <w:pPr>
        <w:jc w:val="both"/>
        <w:rPr>
          <w:rFonts w:ascii="Times New Roman" w:hAnsi="Times New Roman" w:cs="Times New Roman"/>
        </w:rPr>
      </w:pPr>
      <w:r w:rsidRPr="009552D2">
        <w:rPr>
          <w:rFonts w:ascii="Times New Roman" w:hAnsi="Times New Roman" w:cs="Times New Roman"/>
        </w:rPr>
        <w:t xml:space="preserve">Split into three panels, the conference sought to address three </w:t>
      </w:r>
      <w:r w:rsidR="008D3D05" w:rsidRPr="009552D2">
        <w:rPr>
          <w:rFonts w:ascii="Times New Roman" w:hAnsi="Times New Roman" w:cs="Times New Roman"/>
        </w:rPr>
        <w:t>broad</w:t>
      </w:r>
      <w:r w:rsidRPr="009552D2">
        <w:rPr>
          <w:rFonts w:ascii="Times New Roman" w:hAnsi="Times New Roman" w:cs="Times New Roman"/>
        </w:rPr>
        <w:t xml:space="preserve"> approaches to the notion of “saying nothing”: </w:t>
      </w:r>
      <w:r w:rsidR="008D3D05" w:rsidRPr="009552D2">
        <w:rPr>
          <w:rFonts w:ascii="Times New Roman" w:hAnsi="Times New Roman" w:cs="Times New Roman"/>
        </w:rPr>
        <w:t>the ineffab</w:t>
      </w:r>
      <w:r w:rsidR="006C1FD5" w:rsidRPr="009552D2">
        <w:rPr>
          <w:rFonts w:ascii="Times New Roman" w:hAnsi="Times New Roman" w:cs="Times New Roman"/>
        </w:rPr>
        <w:t xml:space="preserve">le, the silenced, and the unsaid. </w:t>
      </w:r>
      <w:r w:rsidR="006C1FD5" w:rsidRPr="009552D2">
        <w:rPr>
          <w:rFonts w:ascii="Times New Roman" w:hAnsi="Times New Roman" w:cs="Times New Roman"/>
          <w:shd w:val="clear" w:color="auto" w:fill="FFFFFF"/>
        </w:rPr>
        <w:t>In the</w:t>
      </w:r>
      <w:r w:rsidR="008D3D05" w:rsidRPr="009552D2">
        <w:rPr>
          <w:rFonts w:ascii="Times New Roman" w:hAnsi="Times New Roman" w:cs="Times New Roman"/>
          <w:shd w:val="clear" w:color="auto" w:fill="FFFFFF"/>
        </w:rPr>
        <w:t xml:space="preserve"> first, </w:t>
      </w:r>
      <w:r w:rsidR="008D3D05" w:rsidRPr="009552D2">
        <w:rPr>
          <w:rFonts w:ascii="Times New Roman" w:hAnsi="Times New Roman" w:cs="Times New Roman"/>
        </w:rPr>
        <w:t>we hear</w:t>
      </w:r>
      <w:r w:rsidR="006C1FD5" w:rsidRPr="009552D2">
        <w:rPr>
          <w:rFonts w:ascii="Times New Roman" w:hAnsi="Times New Roman" w:cs="Times New Roman"/>
        </w:rPr>
        <w:t>d</w:t>
      </w:r>
      <w:r w:rsidR="008D3D05" w:rsidRPr="009552D2">
        <w:rPr>
          <w:rFonts w:ascii="Times New Roman" w:hAnsi="Times New Roman" w:cs="Times New Roman"/>
        </w:rPr>
        <w:t xml:space="preserve"> about the moments at which language appears to have failed us, the moments at which language seems to us to inadequately represent the world and our relation to it. Here, it </w:t>
      </w:r>
      <w:r w:rsidR="00537A77">
        <w:rPr>
          <w:rFonts w:ascii="Times New Roman" w:hAnsi="Times New Roman" w:cs="Times New Roman"/>
        </w:rPr>
        <w:t>might be said</w:t>
      </w:r>
      <w:r w:rsidR="008D3D05" w:rsidRPr="009552D2">
        <w:rPr>
          <w:rFonts w:ascii="Times New Roman" w:hAnsi="Times New Roman" w:cs="Times New Roman"/>
        </w:rPr>
        <w:t>, an excess of words leaves us feeling as though we’ve said nothing</w:t>
      </w:r>
      <w:r w:rsidR="005E6B00">
        <w:rPr>
          <w:rFonts w:ascii="Times New Roman" w:hAnsi="Times New Roman" w:cs="Times New Roman"/>
        </w:rPr>
        <w:t>,</w:t>
      </w:r>
      <w:r w:rsidR="008D3D05" w:rsidRPr="009552D2">
        <w:rPr>
          <w:rFonts w:ascii="Times New Roman" w:hAnsi="Times New Roman" w:cs="Times New Roman"/>
        </w:rPr>
        <w:t xml:space="preserve"> or at least not the </w:t>
      </w:r>
      <w:r w:rsidR="008D3D05" w:rsidRPr="005E6B00">
        <w:rPr>
          <w:rFonts w:ascii="Times New Roman" w:hAnsi="Times New Roman" w:cs="Times New Roman"/>
          <w:i/>
          <w:iCs/>
        </w:rPr>
        <w:t>right</w:t>
      </w:r>
      <w:r w:rsidR="008D3D05" w:rsidRPr="009552D2">
        <w:rPr>
          <w:rFonts w:ascii="Times New Roman" w:hAnsi="Times New Roman" w:cs="Times New Roman"/>
        </w:rPr>
        <w:t xml:space="preserve"> thing.</w:t>
      </w:r>
      <w:r w:rsidR="008D3D05" w:rsidRPr="009552D2">
        <w:rPr>
          <w:rFonts w:ascii="Times New Roman" w:hAnsi="Times New Roman" w:cs="Times New Roman"/>
          <w:shd w:val="clear" w:color="auto" w:fill="FFFFFF"/>
        </w:rPr>
        <w:t xml:space="preserve"> On the flip side of this, our final panel of the day, the unsaid, addresse</w:t>
      </w:r>
      <w:r w:rsidR="009C6D87" w:rsidRPr="009552D2">
        <w:rPr>
          <w:rFonts w:ascii="Times New Roman" w:hAnsi="Times New Roman" w:cs="Times New Roman"/>
          <w:shd w:val="clear" w:color="auto" w:fill="FFFFFF"/>
        </w:rPr>
        <w:t xml:space="preserve">d </w:t>
      </w:r>
      <w:r w:rsidR="008D3D05" w:rsidRPr="009552D2">
        <w:rPr>
          <w:rFonts w:ascii="Times New Roman" w:hAnsi="Times New Roman" w:cs="Times New Roman"/>
          <w:shd w:val="clear" w:color="auto" w:fill="FFFFFF"/>
        </w:rPr>
        <w:t>the notion of “</w:t>
      </w:r>
      <w:r w:rsidR="008D3D05" w:rsidRPr="005E6B00">
        <w:rPr>
          <w:rFonts w:ascii="Times New Roman" w:hAnsi="Times New Roman" w:cs="Times New Roman"/>
          <w:shd w:val="clear" w:color="auto" w:fill="FFFFFF"/>
        </w:rPr>
        <w:t>saying</w:t>
      </w:r>
      <w:r w:rsidR="008D3D05" w:rsidRPr="009552D2">
        <w:rPr>
          <w:rFonts w:ascii="Times New Roman" w:hAnsi="Times New Roman" w:cs="Times New Roman"/>
          <w:shd w:val="clear" w:color="auto" w:fill="FFFFFF"/>
        </w:rPr>
        <w:t xml:space="preserve"> nothing” as that which is absent, unwritten, unseen and unheard: </w:t>
      </w:r>
      <w:r w:rsidR="005E6B00">
        <w:rPr>
          <w:rFonts w:ascii="Times New Roman" w:hAnsi="Times New Roman" w:cs="Times New Roman"/>
          <w:shd w:val="clear" w:color="auto" w:fill="FFFFFF"/>
        </w:rPr>
        <w:t xml:space="preserve">meaning </w:t>
      </w:r>
      <w:r w:rsidR="008D3D05" w:rsidRPr="009552D2">
        <w:rPr>
          <w:rFonts w:ascii="Times New Roman" w:hAnsi="Times New Roman" w:cs="Times New Roman"/>
          <w:shd w:val="clear" w:color="auto" w:fill="FFFFFF"/>
        </w:rPr>
        <w:t xml:space="preserve">which manifests in </w:t>
      </w:r>
      <w:r w:rsidR="005E6B00">
        <w:rPr>
          <w:rFonts w:ascii="Times New Roman" w:hAnsi="Times New Roman" w:cs="Times New Roman"/>
          <w:shd w:val="clear" w:color="auto" w:fill="FFFFFF"/>
        </w:rPr>
        <w:t xml:space="preserve">the </w:t>
      </w:r>
      <w:r w:rsidR="008D3D05" w:rsidRPr="009552D2">
        <w:rPr>
          <w:rFonts w:ascii="Times New Roman" w:hAnsi="Times New Roman" w:cs="Times New Roman"/>
          <w:shd w:val="clear" w:color="auto" w:fill="FFFFFF"/>
        </w:rPr>
        <w:t xml:space="preserve">negative ground. Here, </w:t>
      </w:r>
      <w:r w:rsidR="009C6D87" w:rsidRPr="009552D2">
        <w:rPr>
          <w:rFonts w:ascii="Times New Roman" w:hAnsi="Times New Roman" w:cs="Times New Roman"/>
          <w:shd w:val="clear" w:color="auto" w:fill="FFFFFF"/>
        </w:rPr>
        <w:t>the question was</w:t>
      </w:r>
      <w:r w:rsidR="0025009C">
        <w:rPr>
          <w:rFonts w:ascii="Times New Roman" w:hAnsi="Times New Roman" w:cs="Times New Roman"/>
          <w:shd w:val="clear" w:color="auto" w:fill="FFFFFF"/>
        </w:rPr>
        <w:t>:</w:t>
      </w:r>
      <w:r w:rsidR="008D3D05" w:rsidRPr="009552D2">
        <w:rPr>
          <w:rFonts w:ascii="Times New Roman" w:hAnsi="Times New Roman" w:cs="Times New Roman"/>
          <w:shd w:val="clear" w:color="auto" w:fill="FFFFFF"/>
        </w:rPr>
        <w:t xml:space="preserve"> </w:t>
      </w:r>
      <w:r w:rsidR="009C6D87" w:rsidRPr="009552D2">
        <w:rPr>
          <w:rFonts w:ascii="Times New Roman" w:hAnsi="Times New Roman" w:cs="Times New Roman"/>
          <w:shd w:val="clear" w:color="auto" w:fill="FFFFFF"/>
        </w:rPr>
        <w:t>can</w:t>
      </w:r>
      <w:r w:rsidR="008D3D05" w:rsidRPr="009552D2">
        <w:rPr>
          <w:rFonts w:ascii="Times New Roman" w:hAnsi="Times New Roman" w:cs="Times New Roman"/>
          <w:shd w:val="clear" w:color="auto" w:fill="FFFFFF"/>
        </w:rPr>
        <w:t xml:space="preserve"> saying nothing say something?</w:t>
      </w:r>
      <w:r w:rsidR="009C6D87" w:rsidRPr="009552D2">
        <w:rPr>
          <w:rFonts w:ascii="Times New Roman" w:hAnsi="Times New Roman" w:cs="Times New Roman"/>
        </w:rPr>
        <w:t xml:space="preserve"> </w:t>
      </w:r>
    </w:p>
    <w:p w14:paraId="3C511DE8" w14:textId="1FB9C789" w:rsidR="008D3D05" w:rsidRPr="009552D2" w:rsidRDefault="008D3D05" w:rsidP="008D3D05">
      <w:pPr>
        <w:jc w:val="both"/>
        <w:rPr>
          <w:rFonts w:ascii="Times New Roman" w:hAnsi="Times New Roman" w:cs="Times New Roman"/>
        </w:rPr>
      </w:pPr>
      <w:r w:rsidRPr="009552D2">
        <w:rPr>
          <w:rFonts w:ascii="Times New Roman" w:hAnsi="Times New Roman" w:cs="Times New Roman"/>
          <w:shd w:val="clear" w:color="auto" w:fill="FFFFFF"/>
        </w:rPr>
        <w:t xml:space="preserve">But what </w:t>
      </w:r>
      <w:r w:rsidR="00D11F3E">
        <w:rPr>
          <w:rFonts w:ascii="Times New Roman" w:hAnsi="Times New Roman" w:cs="Times New Roman"/>
          <w:shd w:val="clear" w:color="auto" w:fill="FFFFFF"/>
        </w:rPr>
        <w:t xml:space="preserve">breaking silences? </w:t>
      </w:r>
      <w:r w:rsidRPr="009552D2">
        <w:rPr>
          <w:rFonts w:ascii="Times New Roman" w:hAnsi="Times New Roman" w:cs="Times New Roman"/>
          <w:shd w:val="clear" w:color="auto" w:fill="FFFFFF"/>
        </w:rPr>
        <w:t>Our middle panel, the silenced, explore</w:t>
      </w:r>
      <w:r w:rsidR="009C6D87" w:rsidRPr="009552D2">
        <w:rPr>
          <w:rFonts w:ascii="Times New Roman" w:hAnsi="Times New Roman" w:cs="Times New Roman"/>
          <w:shd w:val="clear" w:color="auto" w:fill="FFFFFF"/>
        </w:rPr>
        <w:t>d</w:t>
      </w:r>
      <w:r w:rsidRPr="009552D2">
        <w:rPr>
          <w:rFonts w:ascii="Times New Roman" w:hAnsi="Times New Roman" w:cs="Times New Roman"/>
          <w:shd w:val="clear" w:color="auto" w:fill="FFFFFF"/>
        </w:rPr>
        <w:t xml:space="preserve"> the relation between the authorial voice and authenticity, the strategies employed to navigate the censor, the status of art made in secret, and the notion of co-option.   </w:t>
      </w:r>
    </w:p>
    <w:p w14:paraId="388EE749" w14:textId="47657760" w:rsidR="008D3D05" w:rsidRPr="009552D2" w:rsidRDefault="009C6D87" w:rsidP="000B6EBA">
      <w:pPr>
        <w:jc w:val="both"/>
        <w:rPr>
          <w:rFonts w:ascii="Times New Roman" w:hAnsi="Times New Roman" w:cs="Times New Roman"/>
        </w:rPr>
      </w:pPr>
      <w:r w:rsidRPr="009552D2">
        <w:rPr>
          <w:rFonts w:ascii="Times New Roman" w:hAnsi="Times New Roman" w:cs="Times New Roman"/>
        </w:rPr>
        <w:t xml:space="preserve">The day also featured two keynote speakers, Dr Maria Balaska and Dr Thomas Gould. Dr Balaska’s keynote, titled ‘Encounters with nothing: objectless wonder in Wittgenstein and Heidegger’, </w:t>
      </w:r>
      <w:r w:rsidR="002825C5" w:rsidRPr="009552D2">
        <w:rPr>
          <w:rFonts w:ascii="Times New Roman" w:hAnsi="Times New Roman" w:cs="Times New Roman"/>
        </w:rPr>
        <w:t>discussed objectless wonder as ‘a profound mood’ which ‘is directed at everything and nothing in particular</w:t>
      </w:r>
      <w:r w:rsidR="00307DD9" w:rsidRPr="009552D2">
        <w:rPr>
          <w:rFonts w:ascii="Times New Roman" w:hAnsi="Times New Roman" w:cs="Times New Roman"/>
        </w:rPr>
        <w:t>’, arguing that while ‘Wittgenstein expressed concerns regarding the paradoxical nature of the expressions that accompany objectless wonder […] we should not view this paradoxicality as a cause for worry but rather as a validation of the underlying ontological insight’.</w:t>
      </w:r>
      <w:r w:rsidR="00BF0062">
        <w:rPr>
          <w:rStyle w:val="FootnoteReference"/>
          <w:rFonts w:ascii="Times New Roman" w:hAnsi="Times New Roman" w:cs="Times New Roman"/>
        </w:rPr>
        <w:footnoteReference w:id="3"/>
      </w:r>
      <w:r w:rsidR="00307DD9" w:rsidRPr="009552D2">
        <w:rPr>
          <w:rFonts w:ascii="Times New Roman" w:hAnsi="Times New Roman" w:cs="Times New Roman"/>
        </w:rPr>
        <w:t xml:space="preserve"> Dr Gould’s keynote, titled </w:t>
      </w:r>
      <w:r w:rsidR="009552D2" w:rsidRPr="009552D2">
        <w:rPr>
          <w:rFonts w:ascii="Times New Roman" w:hAnsi="Times New Roman" w:cs="Times New Roman"/>
        </w:rPr>
        <w:t>‘</w:t>
      </w:r>
      <w:r w:rsidR="00307DD9" w:rsidRPr="009552D2">
        <w:rPr>
          <w:rFonts w:ascii="Times New Roman" w:hAnsi="Times New Roman" w:cs="Times New Roman"/>
        </w:rPr>
        <w:t>Erasure before erasure: on the silence of the line'</w:t>
      </w:r>
      <w:r w:rsidR="009552D2" w:rsidRPr="009552D2">
        <w:rPr>
          <w:rFonts w:ascii="Times New Roman" w:hAnsi="Times New Roman" w:cs="Times New Roman"/>
        </w:rPr>
        <w:t xml:space="preserve"> discussed </w:t>
      </w:r>
      <w:r w:rsidR="009552D2" w:rsidRPr="009552D2">
        <w:rPr>
          <w:rFonts w:ascii="Times New Roman" w:hAnsi="Times New Roman" w:cs="Times New Roman"/>
          <w:shd w:val="clear" w:color="auto" w:fill="FFFFFF"/>
        </w:rPr>
        <w:t>the relation between writing and drawing, asking ‘how does the poetic line always erase a more original graphic line? How does writing erase drawing? What kind of silencing is going on here?’</w:t>
      </w:r>
      <w:r w:rsidR="00BF0062">
        <w:rPr>
          <w:rStyle w:val="FootnoteReference"/>
          <w:rFonts w:ascii="Times New Roman" w:hAnsi="Times New Roman" w:cs="Times New Roman"/>
          <w:shd w:val="clear" w:color="auto" w:fill="FFFFFF"/>
        </w:rPr>
        <w:footnoteReference w:id="4"/>
      </w:r>
    </w:p>
    <w:p w14:paraId="68298031" w14:textId="7177D4C0" w:rsidR="00E46554" w:rsidRDefault="00E46554" w:rsidP="000B6EBA">
      <w:pPr>
        <w:jc w:val="both"/>
        <w:rPr>
          <w:rFonts w:ascii="Times New Roman" w:hAnsi="Times New Roman" w:cs="Times New Roman"/>
        </w:rPr>
      </w:pPr>
      <w:r>
        <w:rPr>
          <w:rFonts w:ascii="Times New Roman" w:hAnsi="Times New Roman" w:cs="Times New Roman"/>
        </w:rPr>
        <w:t>Outcomes:</w:t>
      </w:r>
    </w:p>
    <w:p w14:paraId="44C1451F" w14:textId="2EBEC8C9" w:rsidR="00CC1928" w:rsidRPr="009552D2" w:rsidRDefault="00CC1928" w:rsidP="000B6EBA">
      <w:pPr>
        <w:jc w:val="both"/>
        <w:rPr>
          <w:rFonts w:ascii="Times New Roman" w:hAnsi="Times New Roman" w:cs="Times New Roman"/>
        </w:rPr>
      </w:pPr>
      <w:r w:rsidRPr="009552D2">
        <w:rPr>
          <w:rFonts w:ascii="Times New Roman" w:hAnsi="Times New Roman" w:cs="Times New Roman"/>
        </w:rPr>
        <w:t xml:space="preserve">It is hoped that the conference will lead to a publication within Routledge’s Warwick Series in the Humanities, and a proposal </w:t>
      </w:r>
      <w:r w:rsidR="000F1AEC" w:rsidRPr="009552D2">
        <w:rPr>
          <w:rFonts w:ascii="Times New Roman" w:hAnsi="Times New Roman" w:cs="Times New Roman"/>
        </w:rPr>
        <w:t xml:space="preserve">for this </w:t>
      </w:r>
      <w:r w:rsidRPr="009552D2">
        <w:rPr>
          <w:rFonts w:ascii="Times New Roman" w:hAnsi="Times New Roman" w:cs="Times New Roman"/>
        </w:rPr>
        <w:t>is currently being drafted. Given the success of the performative aspects of the conference, it is hoped that a</w:t>
      </w:r>
      <w:r w:rsidR="000F1AEC" w:rsidRPr="009552D2">
        <w:rPr>
          <w:rFonts w:ascii="Times New Roman" w:hAnsi="Times New Roman" w:cs="Times New Roman"/>
        </w:rPr>
        <w:t>ny</w:t>
      </w:r>
      <w:r w:rsidRPr="009552D2">
        <w:rPr>
          <w:rFonts w:ascii="Times New Roman" w:hAnsi="Times New Roman" w:cs="Times New Roman"/>
        </w:rPr>
        <w:t xml:space="preserve"> publication will </w:t>
      </w:r>
      <w:r w:rsidR="000F1AEC" w:rsidRPr="009552D2">
        <w:rPr>
          <w:rFonts w:ascii="Times New Roman" w:hAnsi="Times New Roman" w:cs="Times New Roman"/>
        </w:rPr>
        <w:t xml:space="preserve">also </w:t>
      </w:r>
      <w:r w:rsidRPr="009552D2">
        <w:rPr>
          <w:rFonts w:ascii="Times New Roman" w:hAnsi="Times New Roman" w:cs="Times New Roman"/>
        </w:rPr>
        <w:t>be accompanied by</w:t>
      </w:r>
      <w:r w:rsidR="00EA2F1A" w:rsidRPr="009552D2">
        <w:rPr>
          <w:rFonts w:ascii="Times New Roman" w:hAnsi="Times New Roman" w:cs="Times New Roman"/>
        </w:rPr>
        <w:t xml:space="preserve"> live events (performances, readings, etc.). This, however, is very much in the early stages of planning. </w:t>
      </w:r>
    </w:p>
    <w:p w14:paraId="68AA6E6F" w14:textId="1A3E52BB" w:rsidR="00CC1928" w:rsidRPr="009552D2" w:rsidRDefault="00CC1928" w:rsidP="000B6EBA">
      <w:pPr>
        <w:jc w:val="both"/>
        <w:rPr>
          <w:rFonts w:ascii="Times New Roman" w:hAnsi="Times New Roman" w:cs="Times New Roman"/>
        </w:rPr>
      </w:pPr>
      <w:r w:rsidRPr="009552D2">
        <w:rPr>
          <w:rFonts w:ascii="Times New Roman" w:hAnsi="Times New Roman" w:cs="Times New Roman"/>
        </w:rPr>
        <w:t>Many thanks to the Humanities Research Centre for the</w:t>
      </w:r>
      <w:r w:rsidR="004E08F7" w:rsidRPr="009552D2">
        <w:rPr>
          <w:rFonts w:ascii="Times New Roman" w:hAnsi="Times New Roman" w:cs="Times New Roman"/>
        </w:rPr>
        <w:t>ir</w:t>
      </w:r>
      <w:r w:rsidRPr="009552D2">
        <w:rPr>
          <w:rFonts w:ascii="Times New Roman" w:hAnsi="Times New Roman" w:cs="Times New Roman"/>
        </w:rPr>
        <w:t xml:space="preserve"> generous support. </w:t>
      </w:r>
    </w:p>
    <w:sectPr w:rsidR="00CC1928" w:rsidRPr="009552D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2E6F4B" w14:textId="77777777" w:rsidR="00EE7C99" w:rsidRDefault="00EE7C99" w:rsidP="00BF0062">
      <w:pPr>
        <w:spacing w:after="0" w:line="240" w:lineRule="auto"/>
      </w:pPr>
      <w:r>
        <w:separator/>
      </w:r>
    </w:p>
  </w:endnote>
  <w:endnote w:type="continuationSeparator" w:id="0">
    <w:p w14:paraId="4F40E40F" w14:textId="77777777" w:rsidR="00EE7C99" w:rsidRDefault="00EE7C99" w:rsidP="00BF00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A4CF8A" w14:textId="77777777" w:rsidR="00EE7C99" w:rsidRDefault="00EE7C99" w:rsidP="00BF0062">
      <w:pPr>
        <w:spacing w:after="0" w:line="240" w:lineRule="auto"/>
      </w:pPr>
      <w:r>
        <w:separator/>
      </w:r>
    </w:p>
  </w:footnote>
  <w:footnote w:type="continuationSeparator" w:id="0">
    <w:p w14:paraId="60228575" w14:textId="77777777" w:rsidR="00EE7C99" w:rsidRDefault="00EE7C99" w:rsidP="00BF0062">
      <w:pPr>
        <w:spacing w:after="0" w:line="240" w:lineRule="auto"/>
      </w:pPr>
      <w:r>
        <w:continuationSeparator/>
      </w:r>
    </w:p>
  </w:footnote>
  <w:footnote w:id="1">
    <w:p w14:paraId="3070191B" w14:textId="24BA3E4C" w:rsidR="00BF0062" w:rsidRPr="00CD4011" w:rsidRDefault="00BF0062">
      <w:pPr>
        <w:pStyle w:val="FootnoteText"/>
        <w:rPr>
          <w:rFonts w:ascii="Times New Roman" w:hAnsi="Times New Roman" w:cs="Times New Roman"/>
        </w:rPr>
      </w:pPr>
      <w:r w:rsidRPr="00CD4011">
        <w:rPr>
          <w:rStyle w:val="FootnoteReference"/>
          <w:rFonts w:ascii="Times New Roman" w:hAnsi="Times New Roman" w:cs="Times New Roman"/>
        </w:rPr>
        <w:footnoteRef/>
      </w:r>
      <w:r w:rsidRPr="00CD4011">
        <w:rPr>
          <w:rFonts w:ascii="Times New Roman" w:hAnsi="Times New Roman" w:cs="Times New Roman"/>
        </w:rPr>
        <w:t xml:space="preserve"> </w:t>
      </w:r>
      <w:r w:rsidR="00572469" w:rsidRPr="00CD4011">
        <w:rPr>
          <w:rFonts w:ascii="Times New Roman" w:hAnsi="Times New Roman" w:cs="Times New Roman"/>
        </w:rPr>
        <w:t xml:space="preserve">Susan Sontag, ‘The Aesthetics of Silence’ in </w:t>
      </w:r>
      <w:r w:rsidR="00572469" w:rsidRPr="00CD4011">
        <w:rPr>
          <w:rFonts w:ascii="Times New Roman" w:hAnsi="Times New Roman" w:cs="Times New Roman"/>
          <w:i/>
          <w:iCs/>
        </w:rPr>
        <w:t>Styles of Radical Will</w:t>
      </w:r>
      <w:r w:rsidR="00572469" w:rsidRPr="00CD4011">
        <w:rPr>
          <w:rFonts w:ascii="Times New Roman" w:hAnsi="Times New Roman" w:cs="Times New Roman"/>
        </w:rPr>
        <w:t xml:space="preserve"> </w:t>
      </w:r>
      <w:r w:rsidR="00C04662">
        <w:rPr>
          <w:rFonts w:ascii="Times New Roman" w:hAnsi="Times New Roman" w:cs="Times New Roman"/>
        </w:rPr>
        <w:t xml:space="preserve">(London: Penguin, 2009), pp. 3-34 </w:t>
      </w:r>
      <w:r w:rsidR="00572469" w:rsidRPr="00CD4011">
        <w:rPr>
          <w:rFonts w:ascii="Times New Roman" w:hAnsi="Times New Roman" w:cs="Times New Roman"/>
        </w:rPr>
        <w:t>(</w:t>
      </w:r>
      <w:r w:rsidR="00C04662">
        <w:rPr>
          <w:rFonts w:ascii="Times New Roman" w:hAnsi="Times New Roman" w:cs="Times New Roman"/>
        </w:rPr>
        <w:t xml:space="preserve">p. 12). </w:t>
      </w:r>
      <w:r w:rsidR="00572469" w:rsidRPr="00CD4011">
        <w:rPr>
          <w:rFonts w:ascii="Times New Roman" w:hAnsi="Times New Roman" w:cs="Times New Roman"/>
        </w:rPr>
        <w:t xml:space="preserve"> </w:t>
      </w:r>
    </w:p>
  </w:footnote>
  <w:footnote w:id="2">
    <w:p w14:paraId="0D5A259B" w14:textId="60E48750" w:rsidR="00BC4541" w:rsidRPr="00CD4011" w:rsidRDefault="00BC4541">
      <w:pPr>
        <w:pStyle w:val="FootnoteText"/>
        <w:rPr>
          <w:rFonts w:ascii="Times New Roman" w:hAnsi="Times New Roman" w:cs="Times New Roman"/>
        </w:rPr>
      </w:pPr>
      <w:r w:rsidRPr="00CD4011">
        <w:rPr>
          <w:rStyle w:val="FootnoteReference"/>
          <w:rFonts w:ascii="Times New Roman" w:hAnsi="Times New Roman" w:cs="Times New Roman"/>
        </w:rPr>
        <w:footnoteRef/>
      </w:r>
      <w:r w:rsidRPr="00CD4011">
        <w:rPr>
          <w:rFonts w:ascii="Times New Roman" w:hAnsi="Times New Roman" w:cs="Times New Roman"/>
        </w:rPr>
        <w:t xml:space="preserve"> Sontag, </w:t>
      </w:r>
      <w:r w:rsidR="00472A50">
        <w:rPr>
          <w:rFonts w:ascii="Times New Roman" w:hAnsi="Times New Roman" w:cs="Times New Roman"/>
        </w:rPr>
        <w:t xml:space="preserve">ibid., </w:t>
      </w:r>
      <w:r w:rsidRPr="00CD4011">
        <w:rPr>
          <w:rFonts w:ascii="Times New Roman" w:hAnsi="Times New Roman" w:cs="Times New Roman"/>
        </w:rPr>
        <w:t xml:space="preserve">p. </w:t>
      </w:r>
      <w:r w:rsidR="00C04662">
        <w:rPr>
          <w:rFonts w:ascii="Times New Roman" w:hAnsi="Times New Roman" w:cs="Times New Roman"/>
        </w:rPr>
        <w:t>12</w:t>
      </w:r>
      <w:r w:rsidRPr="00CD4011">
        <w:rPr>
          <w:rFonts w:ascii="Times New Roman" w:hAnsi="Times New Roman" w:cs="Times New Roman"/>
        </w:rPr>
        <w:t xml:space="preserve">; Ludwig Wittgenstein, </w:t>
      </w:r>
      <w:r w:rsidRPr="00CD4011">
        <w:rPr>
          <w:rFonts w:ascii="Times New Roman" w:hAnsi="Times New Roman" w:cs="Times New Roman"/>
          <w:i/>
          <w:iCs/>
        </w:rPr>
        <w:t>Culture and Value</w:t>
      </w:r>
      <w:r w:rsidRPr="00CD4011">
        <w:rPr>
          <w:rFonts w:ascii="Times New Roman" w:hAnsi="Times New Roman" w:cs="Times New Roman"/>
        </w:rPr>
        <w:t xml:space="preserve">, </w:t>
      </w:r>
      <w:r w:rsidR="002E1927" w:rsidRPr="00CD4011">
        <w:rPr>
          <w:rFonts w:ascii="Times New Roman" w:hAnsi="Times New Roman" w:cs="Times New Roman"/>
        </w:rPr>
        <w:t xml:space="preserve">ed. by G. H. von Wright and H. Nyman, trans. by Peter Winch (Oxford: Blackwell, 1998), </w:t>
      </w:r>
      <w:r w:rsidRPr="00CD4011">
        <w:rPr>
          <w:rFonts w:ascii="Times New Roman" w:hAnsi="Times New Roman" w:cs="Times New Roman"/>
        </w:rPr>
        <w:t>p. 23; John Cage, ‘Lecture on Nothing’</w:t>
      </w:r>
      <w:r w:rsidR="008B5397" w:rsidRPr="00CD4011">
        <w:rPr>
          <w:rFonts w:ascii="Times New Roman" w:hAnsi="Times New Roman" w:cs="Times New Roman"/>
        </w:rPr>
        <w:t xml:space="preserve"> in </w:t>
      </w:r>
      <w:r w:rsidR="008B5397" w:rsidRPr="00CD4011">
        <w:rPr>
          <w:rFonts w:ascii="Times New Roman" w:hAnsi="Times New Roman" w:cs="Times New Roman"/>
          <w:i/>
          <w:iCs/>
        </w:rPr>
        <w:t>Silence: Lectures and Writings</w:t>
      </w:r>
      <w:r w:rsidR="008B5397" w:rsidRPr="00CD4011">
        <w:rPr>
          <w:rFonts w:ascii="Times New Roman" w:hAnsi="Times New Roman" w:cs="Times New Roman"/>
        </w:rPr>
        <w:t xml:space="preserve"> (New York: Marion Boyars, 2009), p. 109. </w:t>
      </w:r>
    </w:p>
  </w:footnote>
  <w:footnote w:id="3">
    <w:p w14:paraId="1AA1716C" w14:textId="48A4A74E" w:rsidR="00BF0062" w:rsidRPr="00CD4011" w:rsidRDefault="00BF0062">
      <w:pPr>
        <w:pStyle w:val="FootnoteText"/>
        <w:rPr>
          <w:rFonts w:ascii="Times New Roman" w:hAnsi="Times New Roman" w:cs="Times New Roman"/>
        </w:rPr>
      </w:pPr>
      <w:r w:rsidRPr="00CD4011">
        <w:rPr>
          <w:rStyle w:val="FootnoteReference"/>
          <w:rFonts w:ascii="Times New Roman" w:hAnsi="Times New Roman" w:cs="Times New Roman"/>
        </w:rPr>
        <w:footnoteRef/>
      </w:r>
      <w:r w:rsidRPr="00CD4011">
        <w:rPr>
          <w:rFonts w:ascii="Times New Roman" w:hAnsi="Times New Roman" w:cs="Times New Roman"/>
        </w:rPr>
        <w:t xml:space="preserve"> See conference programme.</w:t>
      </w:r>
    </w:p>
  </w:footnote>
  <w:footnote w:id="4">
    <w:p w14:paraId="1EE82ADA" w14:textId="79FBAE95" w:rsidR="00BF0062" w:rsidRPr="00CD4011" w:rsidRDefault="00BF0062">
      <w:pPr>
        <w:pStyle w:val="FootnoteText"/>
        <w:rPr>
          <w:rFonts w:ascii="Times New Roman" w:hAnsi="Times New Roman" w:cs="Times New Roman"/>
        </w:rPr>
      </w:pPr>
      <w:r w:rsidRPr="00CD4011">
        <w:rPr>
          <w:rStyle w:val="FootnoteReference"/>
          <w:rFonts w:ascii="Times New Roman" w:hAnsi="Times New Roman" w:cs="Times New Roman"/>
        </w:rPr>
        <w:footnoteRef/>
      </w:r>
      <w:r w:rsidRPr="00CD4011">
        <w:rPr>
          <w:rFonts w:ascii="Times New Roman" w:hAnsi="Times New Roman" w:cs="Times New Roman"/>
        </w:rPr>
        <w:t xml:space="preserve"> See conference programme.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773B"/>
    <w:rsid w:val="0002352A"/>
    <w:rsid w:val="000B6EBA"/>
    <w:rsid w:val="000F1AEC"/>
    <w:rsid w:val="00101807"/>
    <w:rsid w:val="00144007"/>
    <w:rsid w:val="001B5834"/>
    <w:rsid w:val="001D683E"/>
    <w:rsid w:val="0025009C"/>
    <w:rsid w:val="00274C2C"/>
    <w:rsid w:val="002825C5"/>
    <w:rsid w:val="002A4AA0"/>
    <w:rsid w:val="002A5153"/>
    <w:rsid w:val="002E1927"/>
    <w:rsid w:val="00307DD9"/>
    <w:rsid w:val="00331E14"/>
    <w:rsid w:val="00393624"/>
    <w:rsid w:val="003E5D8E"/>
    <w:rsid w:val="0040480D"/>
    <w:rsid w:val="00472A50"/>
    <w:rsid w:val="004E08F7"/>
    <w:rsid w:val="00537A77"/>
    <w:rsid w:val="00572469"/>
    <w:rsid w:val="005E6B00"/>
    <w:rsid w:val="005F1A03"/>
    <w:rsid w:val="006A084C"/>
    <w:rsid w:val="006C1FD5"/>
    <w:rsid w:val="008B5397"/>
    <w:rsid w:val="008D3D05"/>
    <w:rsid w:val="009552D2"/>
    <w:rsid w:val="009C29EF"/>
    <w:rsid w:val="009C6D87"/>
    <w:rsid w:val="00AD3669"/>
    <w:rsid w:val="00B4055D"/>
    <w:rsid w:val="00B65EC1"/>
    <w:rsid w:val="00BC4541"/>
    <w:rsid w:val="00BE2E39"/>
    <w:rsid w:val="00BF0062"/>
    <w:rsid w:val="00C04662"/>
    <w:rsid w:val="00C21545"/>
    <w:rsid w:val="00CC1928"/>
    <w:rsid w:val="00CD4011"/>
    <w:rsid w:val="00D11F3E"/>
    <w:rsid w:val="00D60E66"/>
    <w:rsid w:val="00E46554"/>
    <w:rsid w:val="00EA2F1A"/>
    <w:rsid w:val="00EE7C99"/>
    <w:rsid w:val="00F0206F"/>
    <w:rsid w:val="00FA30AB"/>
    <w:rsid w:val="00FD77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641DF"/>
  <w15:chartTrackingRefBased/>
  <w15:docId w15:val="{371F4CF6-55C0-43F0-8BB6-72F5E73D5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F00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F0062"/>
    <w:rPr>
      <w:sz w:val="20"/>
      <w:szCs w:val="20"/>
    </w:rPr>
  </w:style>
  <w:style w:type="character" w:styleId="FootnoteReference">
    <w:name w:val="footnote reference"/>
    <w:basedOn w:val="DefaultParagraphFont"/>
    <w:uiPriority w:val="99"/>
    <w:semiHidden/>
    <w:unhideWhenUsed/>
    <w:rsid w:val="00BF006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3B834D-16FD-4755-ABBC-E6A2DFC43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465</Words>
  <Characters>2653</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IQBAL, TABINA (PGR)</dc:creator>
  <cp:keywords/>
  <dc:description/>
  <cp:lastModifiedBy>Rae, Sue</cp:lastModifiedBy>
  <cp:revision>2</cp:revision>
  <dcterms:created xsi:type="dcterms:W3CDTF">2023-06-19T16:02:00Z</dcterms:created>
  <dcterms:modified xsi:type="dcterms:W3CDTF">2023-06-19T16:02:00Z</dcterms:modified>
</cp:coreProperties>
</file>