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D6DE35" w14:textId="2DCEC268" w:rsidR="00FF796A" w:rsidRDefault="00AF0BA6">
      <w:pPr>
        <w:rPr>
          <w:rFonts w:ascii="Palatino Linotype" w:hAnsi="Palatino Linotype"/>
          <w:i/>
        </w:rPr>
      </w:pPr>
      <w:bookmarkStart w:id="0" w:name="_GoBack"/>
      <w:bookmarkEnd w:id="0"/>
      <w:r>
        <w:rPr>
          <w:rFonts w:ascii="Palatino Linotype" w:hAnsi="Palatino Linotype"/>
          <w:i/>
        </w:rPr>
        <w:t>Warwick Continental Philosophy Conference Report 2018</w:t>
      </w:r>
    </w:p>
    <w:p w14:paraId="7004D038" w14:textId="4FA7462D" w:rsidR="00AF0BA6" w:rsidRDefault="00AF0BA6">
      <w:pPr>
        <w:rPr>
          <w:rFonts w:ascii="Palatino Linotype" w:hAnsi="Palatino Linotype"/>
          <w:i/>
        </w:rPr>
      </w:pPr>
      <w:r>
        <w:rPr>
          <w:rFonts w:ascii="Palatino Linotype" w:hAnsi="Palatino Linotype"/>
          <w:i/>
        </w:rPr>
        <w:t>Identity and Community: Metaphysics, Politics and Aesthetics</w:t>
      </w:r>
    </w:p>
    <w:p w14:paraId="625DAFD5" w14:textId="0EF53535" w:rsidR="00AF0BA6" w:rsidRDefault="00AF0BA6">
      <w:pPr>
        <w:rPr>
          <w:rFonts w:ascii="Palatino Linotype" w:hAnsi="Palatino Linotype"/>
        </w:rPr>
      </w:pPr>
      <w:r>
        <w:rPr>
          <w:rFonts w:ascii="Palatino Linotype" w:hAnsi="Palatino Linotype"/>
        </w:rPr>
        <w:t>Beginning on the 27</w:t>
      </w:r>
      <w:r w:rsidRPr="00AF0BA6">
        <w:rPr>
          <w:rFonts w:ascii="Palatino Linotype" w:hAnsi="Palatino Linotype"/>
          <w:vertAlign w:val="superscript"/>
        </w:rPr>
        <w:t>th</w:t>
      </w:r>
      <w:r>
        <w:rPr>
          <w:rFonts w:ascii="Palatino Linotype" w:hAnsi="Palatino Linotype"/>
        </w:rPr>
        <w:t xml:space="preserve"> June 2018, the inaugural Warwick Continental Philosophy Conference (WCPC) ran for three days and attracted approximately 60 attendees, including 32 speakers from a wide variety of universities worldwide, including attendees from the Canada, the US, Egypt, Greece, Italy,</w:t>
      </w:r>
      <w:r w:rsidR="00A105C0">
        <w:rPr>
          <w:rFonts w:ascii="Palatino Linotype" w:hAnsi="Palatino Linotype"/>
        </w:rPr>
        <w:t xml:space="preserve"> Ireland,</w:t>
      </w:r>
      <w:r>
        <w:rPr>
          <w:rFonts w:ascii="Palatino Linotype" w:hAnsi="Palatino Linotype"/>
        </w:rPr>
        <w:t xml:space="preserve"> Germany and France. </w:t>
      </w:r>
    </w:p>
    <w:p w14:paraId="1929AD8F" w14:textId="3C29B48F" w:rsidR="00AF0BA6" w:rsidRDefault="00A105C0">
      <w:pPr>
        <w:rPr>
          <w:rFonts w:ascii="Palatino Linotype" w:hAnsi="Palatino Linotype"/>
        </w:rPr>
      </w:pPr>
      <w:r>
        <w:rPr>
          <w:rFonts w:ascii="Palatino Linotype" w:hAnsi="Palatino Linotype"/>
        </w:rPr>
        <w:t xml:space="preserve">The first day of the conference opened with a roundtable discussion with Prof. Alison Stone (Lancaster) on the topic of popular music, drawing on her recent work </w:t>
      </w:r>
      <w:r w:rsidRPr="00A105C0">
        <w:rPr>
          <w:rFonts w:ascii="Palatino Linotype" w:hAnsi="Palatino Linotype"/>
          <w:i/>
        </w:rPr>
        <w:t>The Value of Popular Music: An Approach from Post-Kantian Aesthetics</w:t>
      </w:r>
      <w:r>
        <w:rPr>
          <w:rFonts w:ascii="Palatino Linotype" w:hAnsi="Palatino Linotype"/>
          <w:i/>
        </w:rPr>
        <w:t xml:space="preserve"> </w:t>
      </w:r>
      <w:r>
        <w:rPr>
          <w:rFonts w:ascii="Palatino Linotype" w:hAnsi="Palatino Linotype"/>
        </w:rPr>
        <w:t xml:space="preserve">(Palgrave Macmillan). Her introductory talk was followed by responses from speakers Joshua </w:t>
      </w:r>
      <w:proofErr w:type="spellStart"/>
      <w:r>
        <w:rPr>
          <w:rFonts w:ascii="Palatino Linotype" w:hAnsi="Palatino Linotype"/>
        </w:rPr>
        <w:t>Carlswell</w:t>
      </w:r>
      <w:proofErr w:type="spellEnd"/>
      <w:r>
        <w:rPr>
          <w:rFonts w:ascii="Palatino Linotype" w:hAnsi="Palatino Linotype"/>
        </w:rPr>
        <w:t xml:space="preserve">, </w:t>
      </w:r>
      <w:proofErr w:type="spellStart"/>
      <w:r>
        <w:rPr>
          <w:rFonts w:ascii="Palatino Linotype" w:hAnsi="Palatino Linotype"/>
        </w:rPr>
        <w:t>Kaiah</w:t>
      </w:r>
      <w:proofErr w:type="spellEnd"/>
      <w:r>
        <w:rPr>
          <w:rFonts w:ascii="Palatino Linotype" w:hAnsi="Palatino Linotype"/>
        </w:rPr>
        <w:t xml:space="preserve"> Eaton, and Prof. Eric </w:t>
      </w:r>
      <w:proofErr w:type="spellStart"/>
      <w:r>
        <w:rPr>
          <w:rFonts w:ascii="Palatino Linotype" w:hAnsi="Palatino Linotype"/>
        </w:rPr>
        <w:t>Oberle</w:t>
      </w:r>
      <w:proofErr w:type="spellEnd"/>
      <w:r>
        <w:rPr>
          <w:rFonts w:ascii="Palatino Linotype" w:hAnsi="Palatino Linotype"/>
        </w:rPr>
        <w:t xml:space="preserve"> and questioned the historical construction of the division between ‘art’ and ‘entertainment’. The lively discussion which followed continued into a drinks reception at the Grad Deck and dinner at </w:t>
      </w:r>
      <w:proofErr w:type="spellStart"/>
      <w:r>
        <w:rPr>
          <w:rFonts w:ascii="Palatino Linotype" w:hAnsi="Palatino Linotype"/>
        </w:rPr>
        <w:t>Xananas</w:t>
      </w:r>
      <w:proofErr w:type="spellEnd"/>
      <w:r>
        <w:rPr>
          <w:rFonts w:ascii="Palatino Linotype" w:hAnsi="Palatino Linotype"/>
        </w:rPr>
        <w:t>.</w:t>
      </w:r>
    </w:p>
    <w:p w14:paraId="74890975" w14:textId="21BD2FD9" w:rsidR="00A105C0" w:rsidRDefault="00A105C0">
      <w:pPr>
        <w:rPr>
          <w:rFonts w:ascii="Palatino Linotype" w:hAnsi="Palatino Linotype"/>
        </w:rPr>
      </w:pPr>
      <w:r>
        <w:rPr>
          <w:rFonts w:ascii="Palatino Linotype" w:hAnsi="Palatino Linotype"/>
        </w:rPr>
        <w:t xml:space="preserve">Across the next two days, papers were divided thematically between two parallel sessions in the Oculus building. The concepts of Identity and Community were approached from a variety of different perspectives, from the metaphysical, the judicial, the political and the aesthetic, ensuring that all attendees were likely to be faced with positions they had yet not encountered, as attested by the wide-ranging discussions of the lunch and coffee breaks. </w:t>
      </w:r>
    </w:p>
    <w:p w14:paraId="64FFB0E3" w14:textId="198CF430" w:rsidR="00097105" w:rsidRDefault="00A105C0">
      <w:pPr>
        <w:rPr>
          <w:rFonts w:ascii="Palatino Linotype" w:hAnsi="Palatino Linotype"/>
        </w:rPr>
      </w:pPr>
      <w:r>
        <w:rPr>
          <w:rFonts w:ascii="Palatino Linotype" w:hAnsi="Palatino Linotype"/>
        </w:rPr>
        <w:t xml:space="preserve">Each day also had a keynote presentation. The first, given by Warwick’s own Prof. Miguel de Beistegui, was an introduction to some of the key concepts of his recent work </w:t>
      </w:r>
      <w:r>
        <w:rPr>
          <w:rFonts w:ascii="Palatino Linotype" w:hAnsi="Palatino Linotype"/>
          <w:i/>
        </w:rPr>
        <w:t>The Government of Desire: A Genealogy of the Liberal Subject</w:t>
      </w:r>
      <w:r>
        <w:rPr>
          <w:rFonts w:ascii="Palatino Linotype" w:hAnsi="Palatino Linotype"/>
        </w:rPr>
        <w:t xml:space="preserve"> (Chicago</w:t>
      </w:r>
      <w:r w:rsidR="00097105">
        <w:rPr>
          <w:rFonts w:ascii="Palatino Linotype" w:hAnsi="Palatino Linotype"/>
        </w:rPr>
        <w:t xml:space="preserve"> University</w:t>
      </w:r>
      <w:r>
        <w:rPr>
          <w:rFonts w:ascii="Palatino Linotype" w:hAnsi="Palatino Linotype"/>
        </w:rPr>
        <w:t xml:space="preserve"> Press)</w:t>
      </w:r>
      <w:r w:rsidR="00097105">
        <w:rPr>
          <w:rFonts w:ascii="Palatino Linotype" w:hAnsi="Palatino Linotype"/>
        </w:rPr>
        <w:t xml:space="preserve"> followed by responses from Dr Daniele </w:t>
      </w:r>
      <w:proofErr w:type="spellStart"/>
      <w:r w:rsidR="00097105">
        <w:rPr>
          <w:rFonts w:ascii="Palatino Linotype" w:hAnsi="Palatino Linotype"/>
        </w:rPr>
        <w:t>Lorenzini</w:t>
      </w:r>
      <w:proofErr w:type="spellEnd"/>
      <w:r w:rsidR="00097105">
        <w:rPr>
          <w:rFonts w:ascii="Palatino Linotype" w:hAnsi="Palatino Linotype"/>
        </w:rPr>
        <w:t xml:space="preserve"> and </w:t>
      </w:r>
      <w:proofErr w:type="spellStart"/>
      <w:r w:rsidR="00097105">
        <w:rPr>
          <w:rFonts w:ascii="Palatino Linotype" w:hAnsi="Palatino Linotype"/>
        </w:rPr>
        <w:t>Frederico</w:t>
      </w:r>
      <w:proofErr w:type="spellEnd"/>
      <w:r w:rsidR="00097105">
        <w:rPr>
          <w:rFonts w:ascii="Palatino Linotype" w:hAnsi="Palatino Linotype"/>
        </w:rPr>
        <w:t xml:space="preserve"> </w:t>
      </w:r>
      <w:proofErr w:type="spellStart"/>
      <w:r w:rsidR="00097105">
        <w:rPr>
          <w:rFonts w:ascii="Palatino Linotype" w:hAnsi="Palatino Linotype"/>
        </w:rPr>
        <w:t>Testa</w:t>
      </w:r>
      <w:proofErr w:type="spellEnd"/>
      <w:r w:rsidR="00097105">
        <w:rPr>
          <w:rFonts w:ascii="Palatino Linotype" w:hAnsi="Palatino Linotype"/>
        </w:rPr>
        <w:t xml:space="preserve">. The question of Liberalism and its freedoms were questioned by de Beistegui from a Foucauldian (and indeed, </w:t>
      </w:r>
      <w:proofErr w:type="spellStart"/>
      <w:r w:rsidR="00097105">
        <w:rPr>
          <w:rFonts w:ascii="Palatino Linotype" w:hAnsi="Palatino Linotype"/>
        </w:rPr>
        <w:t>Deleuzo-Guattarian</w:t>
      </w:r>
      <w:proofErr w:type="spellEnd"/>
      <w:r w:rsidR="00097105">
        <w:rPr>
          <w:rFonts w:ascii="Palatino Linotype" w:hAnsi="Palatino Linotype"/>
        </w:rPr>
        <w:t>) perspective as constrictive normative impositions of governmentality, a form of subjectification which determines possible experiences – and the discussion which followed was rich with pointed controversies and rebuttals.</w:t>
      </w:r>
    </w:p>
    <w:p w14:paraId="4F809460" w14:textId="35D15D61" w:rsidR="00097105" w:rsidRPr="00A105C0" w:rsidRDefault="00097105">
      <w:pPr>
        <w:rPr>
          <w:rFonts w:ascii="Palatino Linotype" w:hAnsi="Palatino Linotype"/>
        </w:rPr>
      </w:pPr>
      <w:r>
        <w:rPr>
          <w:rFonts w:ascii="Palatino Linotype" w:hAnsi="Palatino Linotype"/>
        </w:rPr>
        <w:t>The second keynote, closing the conference on the Friday, was given by Prof. Stone and concerned the relation of Hegel to colonialism (and the whether the possibility remains of reading Hegel through a post-colonial lens). Despite the demanding nature of the conference, a substantial time was needed for questions as the audience (featuring a notable Hegelian contingent) sought to draw out the implications of Prof. Stone’s position.</w:t>
      </w:r>
    </w:p>
    <w:p w14:paraId="5F3C183E" w14:textId="204C7DE7" w:rsidR="00AF0BA6" w:rsidRDefault="00097105">
      <w:pPr>
        <w:rPr>
          <w:rFonts w:ascii="Palatino Linotype" w:hAnsi="Palatino Linotype"/>
        </w:rPr>
      </w:pPr>
      <w:r>
        <w:rPr>
          <w:rFonts w:ascii="Palatino Linotype" w:hAnsi="Palatino Linotype"/>
        </w:rPr>
        <w:t>In summary, t</w:t>
      </w:r>
      <w:r w:rsidR="00AF0BA6">
        <w:rPr>
          <w:rFonts w:ascii="Palatino Linotype" w:hAnsi="Palatino Linotype"/>
        </w:rPr>
        <w:t xml:space="preserve">he conference was an enormous success which we aim to reproduce next year, beginning what we hope will become an established tradition and a highlight of the Continental philosophy calendar. </w:t>
      </w:r>
      <w:r>
        <w:rPr>
          <w:rFonts w:ascii="Palatino Linotype" w:hAnsi="Palatino Linotype"/>
        </w:rPr>
        <w:t>We would like to thank the Humanities Research Centre for their assistance not only with funding but with organisational matters, and in particular Sue Rae for all of her help.</w:t>
      </w:r>
    </w:p>
    <w:p w14:paraId="06CFBB52" w14:textId="77777777" w:rsidR="00AF0BA6" w:rsidRPr="00AF0BA6" w:rsidRDefault="00AF0BA6">
      <w:pPr>
        <w:rPr>
          <w:rFonts w:ascii="Palatino Linotype" w:hAnsi="Palatino Linotype"/>
        </w:rPr>
      </w:pPr>
    </w:p>
    <w:p w14:paraId="14DAEE1A" w14:textId="77777777" w:rsidR="00AF0BA6" w:rsidRPr="00AF0BA6" w:rsidRDefault="00AF0BA6">
      <w:pPr>
        <w:rPr>
          <w:rFonts w:ascii="Palatino Linotype" w:hAnsi="Palatino Linotype"/>
        </w:rPr>
      </w:pPr>
    </w:p>
    <w:sectPr w:rsidR="00AF0BA6" w:rsidRPr="00AF0B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Yu Mincho">
    <w:altName w:val="游明朝"/>
    <w:charset w:val="80"/>
    <w:family w:val="roman"/>
    <w:pitch w:val="variable"/>
    <w:sig w:usb0="800002E7" w:usb1="2AC7FCF0"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BA6"/>
    <w:rsid w:val="00097105"/>
    <w:rsid w:val="00347588"/>
    <w:rsid w:val="005775FE"/>
    <w:rsid w:val="00A105C0"/>
    <w:rsid w:val="00AF0BA6"/>
    <w:rsid w:val="00FF796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41FD16"/>
  <w15:chartTrackingRefBased/>
  <w15:docId w15:val="{3C86A1B6-F28D-4DD6-8F1E-DE0232A4C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944B8EFE</Template>
  <TotalTime>1</TotalTime>
  <Pages>1</Pages>
  <Words>441</Words>
  <Characters>2520</Characters>
  <Application>Microsoft Office Word</Application>
  <DocSecurity>4</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Underwood</dc:creator>
  <cp:keywords/>
  <dc:description/>
  <cp:lastModifiedBy>Rae, Sue</cp:lastModifiedBy>
  <cp:revision>2</cp:revision>
  <dcterms:created xsi:type="dcterms:W3CDTF">2018-10-02T08:01:00Z</dcterms:created>
  <dcterms:modified xsi:type="dcterms:W3CDTF">2018-10-02T08:01:00Z</dcterms:modified>
</cp:coreProperties>
</file>