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689EA" w14:textId="55A6C16E" w:rsidR="00B12F96" w:rsidRDefault="00B12F96" w:rsidP="00373DFD">
      <w:pPr>
        <w:jc w:val="left"/>
        <w:rPr>
          <w:lang w:val="en-GB"/>
        </w:rPr>
      </w:pPr>
      <w:r>
        <w:rPr>
          <w:lang w:val="en-GB"/>
        </w:rPr>
        <w:t>Dr Stefano Serafini</w:t>
      </w:r>
      <w:r w:rsidR="00C03411">
        <w:rPr>
          <w:lang w:val="en-GB"/>
        </w:rPr>
        <w:t xml:space="preserve"> – Italian Gothic Report</w:t>
      </w:r>
    </w:p>
    <w:p w14:paraId="53D72CCF" w14:textId="77777777" w:rsidR="00B12F96" w:rsidRDefault="00B12F96" w:rsidP="00373DFD">
      <w:pPr>
        <w:jc w:val="left"/>
        <w:rPr>
          <w:lang w:val="en-GB"/>
        </w:rPr>
      </w:pPr>
    </w:p>
    <w:p w14:paraId="52E0D74F" w14:textId="35DA9017" w:rsidR="00535F9D" w:rsidRPr="005A33FA" w:rsidRDefault="007D05A0" w:rsidP="00373DFD">
      <w:pPr>
        <w:jc w:val="left"/>
        <w:rPr>
          <w:lang w:val="en-GB"/>
        </w:rPr>
      </w:pPr>
      <w:r w:rsidRPr="005A33FA">
        <w:rPr>
          <w:lang w:val="en-GB"/>
        </w:rPr>
        <w:t>On Halloween 2023, Italian at Warwick took part in the Warwick Festival of the Gothic</w:t>
      </w:r>
      <w:r w:rsidR="005A33FA" w:rsidRPr="005A33FA">
        <w:rPr>
          <w:lang w:val="en-GB"/>
        </w:rPr>
        <w:t xml:space="preserve"> (full programme of Italian-related events is available here: </w:t>
      </w:r>
      <w:hyperlink r:id="rId8" w:history="1">
        <w:r w:rsidR="005A33FA" w:rsidRPr="005A33FA">
          <w:rPr>
            <w:rStyle w:val="Hyperlink"/>
            <w:lang w:val="en-GB"/>
          </w:rPr>
          <w:t>https://warwick.ac.uk/fac/arts/modernlanguages/research/italian/events/</w:t>
        </w:r>
      </w:hyperlink>
      <w:r w:rsidR="005A33FA" w:rsidRPr="005A33FA">
        <w:rPr>
          <w:lang w:val="en-GB"/>
        </w:rPr>
        <w:t>)</w:t>
      </w:r>
      <w:r w:rsidRPr="005A33FA">
        <w:rPr>
          <w:lang w:val="en-GB"/>
        </w:rPr>
        <w:t xml:space="preserve">. Activities included: a film night, organised in partnership with the Italian Cinema Seminar and the Department of Film and Television Studies; a student-led workshop in collaboration with the cross-faculty Warwick Comics Research Network; and a roundtable on the theme of the Italian Gothic, whose occasion was provided by the recent publication of the </w:t>
      </w:r>
      <w:r w:rsidRPr="005A33FA">
        <w:rPr>
          <w:i/>
          <w:iCs/>
          <w:lang w:val="en-GB"/>
        </w:rPr>
        <w:t xml:space="preserve">Italian Gothic </w:t>
      </w:r>
      <w:r w:rsidRPr="005A33FA">
        <w:rPr>
          <w:lang w:val="en-GB"/>
        </w:rPr>
        <w:t>Edinburgh companion, co-edited by Marco Malvestio and Stefano Serafini, which included contributions from Warwick staff and students (myself and Dr Simona Di Martino).</w:t>
      </w:r>
      <w:r w:rsidR="005A5486" w:rsidRPr="005A33FA">
        <w:rPr>
          <w:lang w:val="en-GB"/>
        </w:rPr>
        <w:t xml:space="preserve"> The roundtable was also the inaugural event of the newly founded research network </w:t>
      </w:r>
      <w:r w:rsidR="005A5486" w:rsidRPr="005A33FA">
        <w:rPr>
          <w:i/>
          <w:iCs/>
          <w:lang w:val="en-GB"/>
        </w:rPr>
        <w:t>The Revolving Century</w:t>
      </w:r>
      <w:r w:rsidR="005A5486" w:rsidRPr="005A33FA">
        <w:rPr>
          <w:lang w:val="en-GB"/>
        </w:rPr>
        <w:t xml:space="preserve">, ideated by two PhD students in Italian, Gennaro Ambrosino (2nd year) and Enrica Leydi (1st year). This set of events, in sum, managed to catalyse and make interact several research units, groups, and communities that would have otherwise remained </w:t>
      </w:r>
      <w:r w:rsidR="00373DFD">
        <w:rPr>
          <w:lang w:val="en-GB"/>
        </w:rPr>
        <w:t>isolated</w:t>
      </w:r>
      <w:r w:rsidR="005A5486" w:rsidRPr="005A33FA">
        <w:rPr>
          <w:lang w:val="en-GB"/>
        </w:rPr>
        <w:t>, actively putting into practice a genuinely interdisciplinary research culture across the faculty.</w:t>
      </w:r>
    </w:p>
    <w:p w14:paraId="3E2E20A4" w14:textId="77777777" w:rsidR="005A33FA" w:rsidRPr="005A33FA" w:rsidRDefault="007D05A0" w:rsidP="00373DFD">
      <w:pPr>
        <w:jc w:val="left"/>
        <w:rPr>
          <w:lang w:val="en-GB"/>
        </w:rPr>
      </w:pPr>
      <w:r w:rsidRPr="005A33FA">
        <w:rPr>
          <w:lang w:val="en-GB"/>
        </w:rPr>
        <w:tab/>
        <w:t xml:space="preserve">The presence of </w:t>
      </w:r>
      <w:r w:rsidR="005A5486" w:rsidRPr="005A33FA">
        <w:rPr>
          <w:lang w:val="en-GB"/>
        </w:rPr>
        <w:t xml:space="preserve">Dr </w:t>
      </w:r>
      <w:r w:rsidRPr="005A33FA">
        <w:rPr>
          <w:lang w:val="en-GB"/>
        </w:rPr>
        <w:t xml:space="preserve">Stefano Serafini was essential for the successful management of the roundtable; his experience in the study of popular literature and the sociological angle of his research provided distinct input to the comics workshop as well. </w:t>
      </w:r>
      <w:r w:rsidR="005A5486" w:rsidRPr="005A33FA">
        <w:rPr>
          <w:lang w:val="en-GB"/>
        </w:rPr>
        <w:t xml:space="preserve">The discussion held over the day </w:t>
      </w:r>
      <w:r w:rsidR="005A33FA" w:rsidRPr="005A33FA">
        <w:rPr>
          <w:lang w:val="en-GB"/>
        </w:rPr>
        <w:t>led to two parallel initiatives:</w:t>
      </w:r>
    </w:p>
    <w:p w14:paraId="4442047C" w14:textId="77777777" w:rsidR="005A33FA" w:rsidRPr="005A33FA" w:rsidRDefault="005A33FA" w:rsidP="00373DFD">
      <w:pPr>
        <w:jc w:val="left"/>
        <w:rPr>
          <w:lang w:val="en-GB"/>
        </w:rPr>
      </w:pPr>
    </w:p>
    <w:p w14:paraId="298C8506" w14:textId="4CD4DBD1" w:rsidR="007D05A0" w:rsidRPr="005A33FA" w:rsidRDefault="005A33FA" w:rsidP="00373DFD">
      <w:pPr>
        <w:pStyle w:val="ListParagraph"/>
        <w:numPr>
          <w:ilvl w:val="0"/>
          <w:numId w:val="1"/>
        </w:numPr>
        <w:jc w:val="left"/>
        <w:rPr>
          <w:lang w:val="en-GB"/>
        </w:rPr>
      </w:pPr>
      <w:r w:rsidRPr="005A33FA">
        <w:rPr>
          <w:lang w:val="en-GB"/>
        </w:rPr>
        <w:t xml:space="preserve">Two </w:t>
      </w:r>
      <w:r w:rsidRPr="00F46183">
        <w:rPr>
          <w:b/>
          <w:bCs/>
          <w:u w:val="single"/>
          <w:lang w:val="en-GB"/>
        </w:rPr>
        <w:t>conference panels</w:t>
      </w:r>
      <w:r w:rsidRPr="005A33FA">
        <w:rPr>
          <w:lang w:val="en-GB"/>
        </w:rPr>
        <w:t xml:space="preserve"> on the Italian Gothic, to be presented at the next biennial conference of the Society for Italian Studies in June 2024:</w:t>
      </w:r>
    </w:p>
    <w:p w14:paraId="3377538A" w14:textId="0E9B532E" w:rsidR="005A33FA" w:rsidRPr="005A33FA" w:rsidRDefault="005A33FA" w:rsidP="00373DFD">
      <w:pPr>
        <w:pStyle w:val="ListParagraph"/>
        <w:numPr>
          <w:ilvl w:val="1"/>
          <w:numId w:val="1"/>
        </w:numPr>
        <w:jc w:val="left"/>
        <w:rPr>
          <w:lang w:val="en-GB"/>
        </w:rPr>
      </w:pPr>
      <w:r w:rsidRPr="0035615B">
        <w:rPr>
          <w:rFonts w:cs="Times New Roman"/>
          <w:b/>
          <w:bCs/>
        </w:rPr>
        <w:t>Il gotico in Italia nella tarda modernità</w:t>
      </w:r>
      <w:r>
        <w:rPr>
          <w:rFonts w:cs="Times New Roman"/>
        </w:rPr>
        <w:t xml:space="preserve">. </w:t>
      </w:r>
      <w:r w:rsidRPr="00CA2985">
        <w:rPr>
          <w:rFonts w:cs="Times New Roman"/>
          <w:color w:val="000000" w:themeColor="text1"/>
          <w:lang w:val="en-GB"/>
        </w:rPr>
        <w:t>In the Gothic, the historically, socially, and psychologically repressed makes a disturbing return. The Gothic’s obsession with the past, in the form of ruins, castles, ghosts, the undead, or lost manuscripts, is also quite literally a return of something that was believed to be surpassed, historically absorbed, and yet that still pervades and haunts the present. The Gothic</w:t>
      </w:r>
      <w:r>
        <w:rPr>
          <w:rFonts w:cs="Times New Roman"/>
          <w:color w:val="000000" w:themeColor="text1"/>
          <w:lang w:val="en-GB"/>
        </w:rPr>
        <w:t>, moreover,</w:t>
      </w:r>
      <w:r w:rsidRPr="00CA2985">
        <w:rPr>
          <w:rFonts w:cs="Times New Roman"/>
          <w:color w:val="000000" w:themeColor="text1"/>
          <w:lang w:val="en-GB"/>
        </w:rPr>
        <w:t xml:space="preserve"> is not limited to the arts, as it permeates a variety of cultural phenomena, from local folklore to non-fiction. Starting from this premise, this panel explores some of the nuances and forms of the Gothic within a period in which </w:t>
      </w:r>
      <w:r w:rsidRPr="00CA2985">
        <w:rPr>
          <w:rFonts w:cs="Times New Roman"/>
          <w:lang w:val="en-US"/>
        </w:rPr>
        <w:t xml:space="preserve">Italy was not a nation, but rather the laboratory of a nation, and </w:t>
      </w:r>
      <w:r w:rsidRPr="00CA2985">
        <w:rPr>
          <w:rFonts w:cs="Times New Roman"/>
          <w:color w:val="000000" w:themeColor="text1"/>
          <w:lang w:val="en-GB"/>
        </w:rPr>
        <w:t>the Gothic was not yet recognizable as a literary term</w:t>
      </w:r>
      <w:r>
        <w:rPr>
          <w:rFonts w:cs="Times New Roman"/>
          <w:color w:val="000000" w:themeColor="text1"/>
          <w:lang w:val="en-GB"/>
        </w:rPr>
        <w:t xml:space="preserve"> and had little categorising force</w:t>
      </w:r>
      <w:r w:rsidRPr="00CA2985">
        <w:rPr>
          <w:rFonts w:cs="Times New Roman"/>
          <w:color w:val="000000" w:themeColor="text1"/>
          <w:lang w:val="en-GB"/>
        </w:rPr>
        <w:t xml:space="preserve">. </w:t>
      </w:r>
      <w:r>
        <w:rPr>
          <w:rFonts w:cs="Times New Roman"/>
          <w:color w:val="000000" w:themeColor="text1"/>
          <w:lang w:val="en-GB"/>
        </w:rPr>
        <w:t xml:space="preserve">The first contribution, by Simona Di Martino, </w:t>
      </w:r>
      <w:r>
        <w:rPr>
          <w:rFonts w:cs="Times New Roman"/>
          <w:color w:val="000000" w:themeColor="text1"/>
          <w:lang w:val="en-US"/>
        </w:rPr>
        <w:t>explores late eighteenth and early nineteenth-century Italian elegy through the lens of the Gothic applied to medical humanities</w:t>
      </w:r>
      <w:r>
        <w:rPr>
          <w:rFonts w:cs="Times New Roman"/>
          <w:color w:val="000000" w:themeColor="text1"/>
          <w:lang w:val="en-GB"/>
        </w:rPr>
        <w:t xml:space="preserve">, while the second and third papers, delivered by Gennaro Ambrosino and Fabio Camilletti respectively, </w:t>
      </w:r>
      <w:r w:rsidRPr="00CA2985">
        <w:rPr>
          <w:rFonts w:cs="Times New Roman"/>
          <w:color w:val="000000" w:themeColor="text1"/>
          <w:lang w:val="en-GB"/>
        </w:rPr>
        <w:t xml:space="preserve">investigate the role of Italian culture </w:t>
      </w:r>
      <w:r w:rsidRPr="00CA2985">
        <w:rPr>
          <w:rFonts w:cs="Times New Roman"/>
          <w:color w:val="000000" w:themeColor="text1"/>
          <w:lang w:val="en-US"/>
        </w:rPr>
        <w:t xml:space="preserve">in the shaping and dissemination of those ‘often </w:t>
      </w:r>
      <w:r w:rsidRPr="00CA2985">
        <w:rPr>
          <w:rFonts w:cs="Times New Roman"/>
          <w:i/>
          <w:iCs/>
          <w:color w:val="000000" w:themeColor="text1"/>
          <w:lang w:val="en-US"/>
        </w:rPr>
        <w:t>hidden</w:t>
      </w:r>
      <w:r w:rsidRPr="00CA2985">
        <w:rPr>
          <w:rFonts w:cs="Times New Roman"/>
          <w:color w:val="000000" w:themeColor="text1"/>
          <w:lang w:val="en-US"/>
        </w:rPr>
        <w:t xml:space="preserve">, </w:t>
      </w:r>
      <w:r w:rsidRPr="00CA2985">
        <w:rPr>
          <w:rFonts w:cs="Times New Roman"/>
          <w:i/>
          <w:iCs/>
          <w:color w:val="000000" w:themeColor="text1"/>
          <w:lang w:val="en-US"/>
        </w:rPr>
        <w:t>rejected</w:t>
      </w:r>
      <w:r w:rsidRPr="00CA2985">
        <w:rPr>
          <w:rFonts w:cs="Times New Roman"/>
          <w:color w:val="000000" w:themeColor="text1"/>
          <w:lang w:val="en-US"/>
        </w:rPr>
        <w:t xml:space="preserve">, and </w:t>
      </w:r>
      <w:r w:rsidRPr="00CA2985">
        <w:rPr>
          <w:rFonts w:cs="Times New Roman"/>
          <w:i/>
          <w:iCs/>
          <w:color w:val="000000" w:themeColor="text1"/>
          <w:lang w:val="en-US"/>
        </w:rPr>
        <w:t>oppositional</w:t>
      </w:r>
      <w:r w:rsidRPr="00CA2985">
        <w:rPr>
          <w:rFonts w:cs="Times New Roman"/>
          <w:color w:val="000000" w:themeColor="text1"/>
          <w:lang w:val="en-US"/>
        </w:rPr>
        <w:t xml:space="preserve"> beliefs and practices’ (68) that Christopher Partridge groups under the term ‘occulture’, with which he defines the survival and re-articulation of the various manifestations and ramifications of the occult in periods of secularization. </w:t>
      </w:r>
      <w:r w:rsidRPr="00CA2985">
        <w:rPr>
          <w:rFonts w:cs="Times New Roman"/>
          <w:lang w:val="en-US"/>
        </w:rPr>
        <w:t xml:space="preserve">With three speakers covering </w:t>
      </w:r>
      <w:r>
        <w:rPr>
          <w:rFonts w:cs="Times New Roman"/>
          <w:lang w:val="en-US"/>
        </w:rPr>
        <w:t>a period that spans from the seventeenth century to the early nineteenth century as well as</w:t>
      </w:r>
      <w:r w:rsidRPr="00CA2985">
        <w:rPr>
          <w:rFonts w:cs="Times New Roman"/>
          <w:lang w:val="en-US"/>
        </w:rPr>
        <w:t xml:space="preserve"> a variety of cultural forms</w:t>
      </w:r>
      <w:r>
        <w:rPr>
          <w:rFonts w:cs="Times New Roman"/>
          <w:lang w:val="en-US"/>
        </w:rPr>
        <w:t xml:space="preserve"> and texts (anecdotes, treatises, novels, poetry)</w:t>
      </w:r>
      <w:r w:rsidRPr="00CA2985">
        <w:rPr>
          <w:rFonts w:cs="Times New Roman"/>
          <w:lang w:val="en-US"/>
        </w:rPr>
        <w:t>, this panel aims to demonstrate the pervasiveness of the Gothic in Italy outside well-</w:t>
      </w:r>
      <w:r>
        <w:rPr>
          <w:rFonts w:cs="Times New Roman"/>
          <w:lang w:val="en-US"/>
        </w:rPr>
        <w:t>known</w:t>
      </w:r>
      <w:r w:rsidRPr="00CA2985">
        <w:rPr>
          <w:rFonts w:cs="Times New Roman"/>
          <w:lang w:val="en-US"/>
        </w:rPr>
        <w:t xml:space="preserve"> periods and circles, thus inviting a more nuanced and comprehensive study of </w:t>
      </w:r>
      <w:r>
        <w:rPr>
          <w:rFonts w:cs="Times New Roman"/>
          <w:lang w:val="en-US"/>
        </w:rPr>
        <w:t>the</w:t>
      </w:r>
      <w:r w:rsidRPr="00CA2985">
        <w:rPr>
          <w:rFonts w:cs="Times New Roman"/>
          <w:lang w:val="en-US"/>
        </w:rPr>
        <w:t xml:space="preserve"> </w:t>
      </w:r>
      <w:r>
        <w:rPr>
          <w:rFonts w:cs="Times New Roman"/>
          <w:lang w:val="en-US"/>
        </w:rPr>
        <w:t>dissemination</w:t>
      </w:r>
      <w:r w:rsidRPr="00CA2985">
        <w:rPr>
          <w:rFonts w:cs="Times New Roman"/>
          <w:lang w:val="en-US"/>
        </w:rPr>
        <w:t xml:space="preserve"> and influence </w:t>
      </w:r>
      <w:r>
        <w:rPr>
          <w:rFonts w:cs="Times New Roman"/>
          <w:lang w:val="en-US"/>
        </w:rPr>
        <w:t xml:space="preserve">of this mode </w:t>
      </w:r>
      <w:r w:rsidRPr="00CA2985">
        <w:rPr>
          <w:rFonts w:cs="Times New Roman"/>
          <w:lang w:val="en-US"/>
        </w:rPr>
        <w:t>across time and space.</w:t>
      </w:r>
      <w:r>
        <w:rPr>
          <w:rFonts w:cs="Times New Roman"/>
          <w:lang w:val="en-US"/>
        </w:rPr>
        <w:t xml:space="preserve"> </w:t>
      </w:r>
      <w:r>
        <w:rPr>
          <w:rFonts w:cs="Times New Roman"/>
          <w:u w:val="single"/>
          <w:lang w:val="en-US"/>
        </w:rPr>
        <w:t>Speakers</w:t>
      </w:r>
      <w:r>
        <w:rPr>
          <w:rFonts w:cs="Times New Roman"/>
          <w:lang w:val="en-US"/>
        </w:rPr>
        <w:t>: Fabio Camilletti (</w:t>
      </w:r>
      <w:r w:rsidRPr="005A33FA">
        <w:rPr>
          <w:rFonts w:cs="Times New Roman"/>
          <w:i/>
          <w:iCs/>
          <w:lang w:val="en-US"/>
        </w:rPr>
        <w:t>Leonzio, la punizione dei morti e il gotico italiano</w:t>
      </w:r>
      <w:r>
        <w:rPr>
          <w:rFonts w:cs="Times New Roman"/>
          <w:lang w:val="en-US"/>
        </w:rPr>
        <w:t>), Gennaro Ambrosino (</w:t>
      </w:r>
      <w:r w:rsidRPr="005A33FA">
        <w:rPr>
          <w:rFonts w:cs="Times New Roman"/>
          <w:i/>
          <w:iCs/>
          <w:lang w:val="en-US"/>
        </w:rPr>
        <w:t xml:space="preserve">Ruins, Archaeological Landscapes and Spiritual Invocations in </w:t>
      </w:r>
      <w:r w:rsidRPr="005A33FA">
        <w:rPr>
          <w:rFonts w:cs="Times New Roman"/>
          <w:lang w:val="en-US"/>
        </w:rPr>
        <w:t>Le notti romane</w:t>
      </w:r>
      <w:r w:rsidRPr="005A33FA">
        <w:rPr>
          <w:rFonts w:cs="Times New Roman"/>
          <w:i/>
          <w:iCs/>
          <w:lang w:val="en-US"/>
        </w:rPr>
        <w:t xml:space="preserve"> (1782) by Alessandro Verri</w:t>
      </w:r>
      <w:r>
        <w:rPr>
          <w:rFonts w:cs="Times New Roman"/>
          <w:lang w:val="en-US"/>
        </w:rPr>
        <w:t>), Simona Di Martino (</w:t>
      </w:r>
      <w:r w:rsidRPr="005A33FA">
        <w:rPr>
          <w:rFonts w:cs="Times New Roman"/>
          <w:i/>
          <w:iCs/>
          <w:lang w:val="en-US"/>
        </w:rPr>
        <w:t>La morte al femminile: scritture gotiche nell’elegia sette/ottocentesca italiana</w:t>
      </w:r>
      <w:r>
        <w:rPr>
          <w:rFonts w:cs="Times New Roman"/>
          <w:lang w:val="en-US"/>
        </w:rPr>
        <w:t>).</w:t>
      </w:r>
    </w:p>
    <w:p w14:paraId="68CDE732" w14:textId="3A5D9704" w:rsidR="005A33FA" w:rsidRPr="005A33FA" w:rsidRDefault="005A33FA" w:rsidP="00373DFD">
      <w:pPr>
        <w:pStyle w:val="ListParagraph"/>
        <w:numPr>
          <w:ilvl w:val="1"/>
          <w:numId w:val="1"/>
        </w:numPr>
        <w:jc w:val="left"/>
        <w:rPr>
          <w:lang w:val="en-GB"/>
        </w:rPr>
      </w:pPr>
      <w:r w:rsidRPr="005A33FA">
        <w:rPr>
          <w:rFonts w:ascii="Times" w:hAnsi="Times"/>
          <w:b/>
          <w:bCs/>
          <w:lang w:val="en-GB"/>
        </w:rPr>
        <w:lastRenderedPageBreak/>
        <w:t>Il gotico in Italia nell’età contemporanea</w:t>
      </w:r>
      <w:r w:rsidRPr="005A33FA">
        <w:rPr>
          <w:rFonts w:ascii="Times" w:hAnsi="Times"/>
          <w:lang w:val="en-GB"/>
        </w:rPr>
        <w:t xml:space="preserve">. The Gothic (understood here as a transmedial mode exploring the dark, disturbing side of individuals, cultures and societies to interrogate socially dictated and institutionally entrenched attitudes and laws relating to gender, class, race and power) intrudes upon and pervades an extraordinary variety of Italian cultural products, from the short stories that appeared in forgotten magazines of the </w:t>
      </w:r>
      <w:r w:rsidRPr="005A33FA">
        <w:rPr>
          <w:rFonts w:ascii="Times" w:hAnsi="Times"/>
          <w:i/>
          <w:iCs/>
          <w:lang w:val="en-GB"/>
        </w:rPr>
        <w:t>fin de siècle</w:t>
      </w:r>
      <w:r w:rsidRPr="005A33FA">
        <w:rPr>
          <w:rFonts w:ascii="Times" w:hAnsi="Times"/>
          <w:lang w:val="en-GB"/>
        </w:rPr>
        <w:t xml:space="preserve"> to literary classics such as Alessandro Manzoni’s </w:t>
      </w:r>
      <w:r w:rsidRPr="005A33FA">
        <w:rPr>
          <w:rFonts w:ascii="Times" w:hAnsi="Times"/>
          <w:i/>
          <w:iCs/>
          <w:lang w:val="en-GB"/>
        </w:rPr>
        <w:t>I promessi sposi</w:t>
      </w:r>
      <w:r w:rsidRPr="005A33FA">
        <w:rPr>
          <w:rFonts w:ascii="Times" w:hAnsi="Times"/>
          <w:lang w:val="en-GB"/>
        </w:rPr>
        <w:t xml:space="preserve"> (1827) or Antonio Fogazzaro’s </w:t>
      </w:r>
      <w:r w:rsidRPr="005A33FA">
        <w:rPr>
          <w:rFonts w:ascii="Times" w:hAnsi="Times"/>
          <w:i/>
          <w:iCs/>
          <w:lang w:val="en-GB"/>
        </w:rPr>
        <w:t>Malombra</w:t>
      </w:r>
      <w:r w:rsidRPr="005A33FA">
        <w:rPr>
          <w:rFonts w:ascii="Times" w:hAnsi="Times"/>
          <w:lang w:val="en-GB"/>
        </w:rPr>
        <w:t xml:space="preserve"> (1881). These texts are rarely, if ever, recognised as Gothic because of a two-fold tendency among Italian critics: first, the refusal to take seriously, from a rigorous, academic perspective, what is conventionally called ‘genre fiction’; second, the difficulty of fitting the irrationalism that is inherent to the Gothic into the larger picture of Italian culture, which, from the Renaissance onwards, has viewed itself as innately ‘rational’. In line with recent explorations in academic criticism (as for example the 2023 </w:t>
      </w:r>
      <w:r w:rsidRPr="005A33FA">
        <w:rPr>
          <w:rFonts w:ascii="Times" w:hAnsi="Times"/>
          <w:i/>
          <w:iCs/>
          <w:lang w:val="en-GB"/>
        </w:rPr>
        <w:t>Italian Gothic. An Edinburgh Companion</w:t>
      </w:r>
      <w:r w:rsidRPr="005A33FA">
        <w:rPr>
          <w:rFonts w:ascii="Times" w:hAnsi="Times"/>
          <w:lang w:val="en-GB"/>
        </w:rPr>
        <w:t xml:space="preserve">, co-edited by Marco Malvestio and Stefano Serafini), this panel aims at complicating the relationship between contemporary Italian culture and the Gothic, sparking discussion on the notion of an Italian Gothic, whose key characteristics are still being defined and negotiated, and highlighting the continued and pervasive presence of the Gothic in the history of the country from the unification onward. With three speakers covering almost a century and a half of Italian history and a variety of genres and literary forms, from Carlo Collodi’s dark fable, to interwar crime fiction, to the new challenges that the Anthropocene poses to representation, the panel will prove to be an essential and timely contribution to the conference, with the possibility of dialoguing with multiple fields of research and theoretical approaches, from gender studies to the environmental humanities. </w:t>
      </w:r>
      <w:r w:rsidRPr="005A33FA">
        <w:rPr>
          <w:rFonts w:ascii="Times" w:hAnsi="Times"/>
          <w:u w:val="single"/>
          <w:lang w:val="en-GB"/>
        </w:rPr>
        <w:t>Speakers</w:t>
      </w:r>
      <w:r w:rsidRPr="005A33FA">
        <w:rPr>
          <w:rFonts w:ascii="Times" w:hAnsi="Times"/>
          <w:lang w:val="en-GB"/>
        </w:rPr>
        <w:t xml:space="preserve">: </w:t>
      </w:r>
      <w:r>
        <w:rPr>
          <w:rFonts w:ascii="Times" w:hAnsi="Times"/>
          <w:lang w:val="en-GB"/>
        </w:rPr>
        <w:t>Enrica Leydi (</w:t>
      </w:r>
      <w:r w:rsidRPr="005A33FA">
        <w:rPr>
          <w:rFonts w:ascii="Times" w:hAnsi="Times"/>
          <w:i/>
          <w:iCs/>
          <w:lang w:val="en-GB"/>
        </w:rPr>
        <w:t>Pinocchio, ovvero una commedia degli orrori</w:t>
      </w:r>
      <w:r>
        <w:rPr>
          <w:rFonts w:ascii="Times" w:hAnsi="Times"/>
          <w:lang w:val="en-GB"/>
        </w:rPr>
        <w:t>), Stefano Serafini (</w:t>
      </w:r>
      <w:r w:rsidRPr="005A33FA">
        <w:rPr>
          <w:rFonts w:ascii="Times" w:hAnsi="Times"/>
          <w:i/>
          <w:iCs/>
        </w:rPr>
        <w:t>Scienza, letteratura e occulto nell’Italia interbellica</w:t>
      </w:r>
      <w:r>
        <w:rPr>
          <w:rFonts w:ascii="Times" w:hAnsi="Times"/>
        </w:rPr>
        <w:t>), Marco Malvestio (</w:t>
      </w:r>
      <w:r w:rsidRPr="005A33FA">
        <w:rPr>
          <w:rFonts w:ascii="Times" w:hAnsi="Times"/>
          <w:i/>
          <w:iCs/>
        </w:rPr>
        <w:t>L’Antropocene gotico di Luigi Musolino</w:t>
      </w:r>
      <w:r>
        <w:rPr>
          <w:rFonts w:ascii="Times" w:hAnsi="Times"/>
        </w:rPr>
        <w:t>).</w:t>
      </w:r>
    </w:p>
    <w:p w14:paraId="342535B9" w14:textId="3954CB80" w:rsidR="005A33FA" w:rsidRDefault="00F46183" w:rsidP="00373DFD">
      <w:pPr>
        <w:pStyle w:val="ListParagraph"/>
        <w:numPr>
          <w:ilvl w:val="0"/>
          <w:numId w:val="1"/>
        </w:numPr>
        <w:jc w:val="left"/>
        <w:rPr>
          <w:lang w:val="en-GB"/>
        </w:rPr>
      </w:pPr>
      <w:r>
        <w:rPr>
          <w:lang w:val="en-GB"/>
        </w:rPr>
        <w:t>One</w:t>
      </w:r>
      <w:r w:rsidR="005A33FA" w:rsidRPr="005A33FA">
        <w:rPr>
          <w:lang w:val="en-GB"/>
        </w:rPr>
        <w:t xml:space="preserve"> </w:t>
      </w:r>
      <w:r w:rsidR="005A33FA" w:rsidRPr="00F46183">
        <w:rPr>
          <w:b/>
          <w:bCs/>
          <w:u w:val="single"/>
          <w:lang w:val="en-GB"/>
        </w:rPr>
        <w:t xml:space="preserve">special </w:t>
      </w:r>
      <w:r w:rsidRPr="00F46183">
        <w:rPr>
          <w:b/>
          <w:bCs/>
          <w:u w:val="single"/>
          <w:lang w:val="en-GB"/>
        </w:rPr>
        <w:t xml:space="preserve">journal </w:t>
      </w:r>
      <w:r w:rsidR="005A33FA" w:rsidRPr="00F46183">
        <w:rPr>
          <w:b/>
          <w:bCs/>
          <w:u w:val="single"/>
          <w:lang w:val="en-GB"/>
        </w:rPr>
        <w:t>issue</w:t>
      </w:r>
      <w:r w:rsidR="005A33FA" w:rsidRPr="005A33FA">
        <w:rPr>
          <w:lang w:val="en-GB"/>
        </w:rPr>
        <w:t xml:space="preserve"> </w:t>
      </w:r>
      <w:r>
        <w:rPr>
          <w:lang w:val="en-GB"/>
        </w:rPr>
        <w:t>to be presented (deadline February the 1</w:t>
      </w:r>
      <w:r w:rsidRPr="00F46183">
        <w:rPr>
          <w:vertAlign w:val="superscript"/>
          <w:lang w:val="en-GB"/>
        </w:rPr>
        <w:t>st</w:t>
      </w:r>
      <w:r>
        <w:rPr>
          <w:lang w:val="en-GB"/>
        </w:rPr>
        <w:t xml:space="preserve">, 2024) to journal </w:t>
      </w:r>
      <w:r>
        <w:rPr>
          <w:i/>
          <w:iCs/>
          <w:lang w:val="en-GB"/>
        </w:rPr>
        <w:t>Gothic Studies</w:t>
      </w:r>
      <w:r>
        <w:rPr>
          <w:lang w:val="en-GB"/>
        </w:rPr>
        <w:t>:</w:t>
      </w:r>
    </w:p>
    <w:p w14:paraId="0F1D9E79" w14:textId="55988050" w:rsidR="00F46183" w:rsidRDefault="00F46183" w:rsidP="00373DFD">
      <w:pPr>
        <w:pStyle w:val="ListParagraph"/>
        <w:numPr>
          <w:ilvl w:val="1"/>
          <w:numId w:val="1"/>
        </w:numPr>
        <w:jc w:val="left"/>
        <w:rPr>
          <w:lang w:val="en-GB"/>
        </w:rPr>
      </w:pPr>
      <w:r>
        <w:rPr>
          <w:b/>
          <w:bCs/>
          <w:lang w:val="en-GB"/>
        </w:rPr>
        <w:t>Material and Immaterial Italian Gothic</w:t>
      </w:r>
      <w:r>
        <w:rPr>
          <w:lang w:val="en-GB"/>
        </w:rPr>
        <w:t xml:space="preserve">: </w:t>
      </w:r>
      <w:r w:rsidRPr="00F46183">
        <w:rPr>
          <w:lang w:val="en-GB"/>
        </w:rPr>
        <w:t xml:space="preserve">The proposed special issue, building on the last decade of research in Italian Studies (Foni, 2007 &amp; 2009; Corradi, 2016; Camilletti-Foni, 2021 &amp; 2022; Malvestio-Serafini, 2023; Camilletti, forthcoming 2024 and Serafini, forthcoming 2024) will explore the complex interplay between the Italian Gothic and the dominant classicist self-narrative of Italian culture, further shaped by the influence of the Catholic Church and a clear division between high and low or popular culture. Specifically, the proposed special issue will address the dialectical relationship between the material and the immaterial, the visible and the invisible, the prominent and the repressed - pairs of opposites that encapsulate the central characteristics of the Italian Gothic. Traditional Italian aesthetics emphasises principles such as figuration, volumetric concreteness, </w:t>
      </w:r>
      <w:proofErr w:type="gramStart"/>
      <w:r w:rsidRPr="00F46183">
        <w:rPr>
          <w:lang w:val="en-GB"/>
        </w:rPr>
        <w:t>perspective</w:t>
      </w:r>
      <w:proofErr w:type="gramEnd"/>
      <w:r w:rsidRPr="00F46183">
        <w:rPr>
          <w:lang w:val="en-GB"/>
        </w:rPr>
        <w:t xml:space="preserve"> and visual realism, with Giorgio Vasari as an example and reference, so that the values of rationality, order and balance are closely linked to discussions of Italian identity, particularly during the development of (neo)classicist aesthetics in the eighteenth century and the movements for Italian unification in the nineteenth century. Conversely, Gothic aesthetics in Italy was for a considerable period synonymous with German, Romantic and irrational traits, which were considered non-classical and therefore repressed and apparently eradicated.</w:t>
      </w:r>
      <w:r>
        <w:rPr>
          <w:lang w:val="en-GB"/>
        </w:rPr>
        <w:t xml:space="preserve"> </w:t>
      </w:r>
      <w:r w:rsidRPr="00F46183">
        <w:rPr>
          <w:lang w:val="en-GB"/>
        </w:rPr>
        <w:t xml:space="preserve">This self-narrative was indeed successful, as the dominant perception of Italian aesthetics from the outside had long been framed by classical and rational principles. Thus, cultural movements that sought to break away from Italian norms promoted alternative aesthetics: Byzantine-Greek art developed a two-dimensional and perspective-less style, while German </w:t>
      </w:r>
      <w:r w:rsidRPr="00F46183">
        <w:rPr>
          <w:lang w:val="en-GB"/>
        </w:rPr>
        <w:lastRenderedPageBreak/>
        <w:t xml:space="preserve">Gothic architecture developed in reaction to Romanesque art. With the emergence of the Gothic novel in the eighteenth century, Horace Walpole could then refer to Gothic architecture to emphasise features of his anti-classical and anti-Italian poetics. However, this Italian narrative conceals a significant part of Italian culture. Baroque or Gesuitic features, for example, such as ornamental and theatrical elements, visionary </w:t>
      </w:r>
      <w:proofErr w:type="gramStart"/>
      <w:r w:rsidRPr="00F46183">
        <w:rPr>
          <w:lang w:val="en-GB"/>
        </w:rPr>
        <w:t>themes</w:t>
      </w:r>
      <w:proofErr w:type="gramEnd"/>
      <w:r w:rsidRPr="00F46183">
        <w:rPr>
          <w:lang w:val="en-GB"/>
        </w:rPr>
        <w:t xml:space="preserve"> and an emphasis on fantasy, remain beneath the surface of the dominant narrative. These characteristics, which typify the Italian Gothic, have reappeared at various points, challenging the hegemony of classical </w:t>
      </w:r>
      <w:proofErr w:type="gramStart"/>
      <w:r w:rsidRPr="00F46183">
        <w:rPr>
          <w:lang w:val="en-GB"/>
        </w:rPr>
        <w:t>ideals</w:t>
      </w:r>
      <w:proofErr w:type="gramEnd"/>
      <w:r w:rsidRPr="00F46183">
        <w:rPr>
          <w:lang w:val="en-GB"/>
        </w:rPr>
        <w:t xml:space="preserve"> and revealing the nuanced nature of Italian cultural expression, as in the case of Giovanni Battista Piranesi's etchings. Therefore, seventeen years after the release of the Gothic Studies issue dedicated to the Gothic in Italy in 2006, this </w:t>
      </w:r>
      <w:proofErr w:type="gramStart"/>
      <w:r w:rsidRPr="00F46183">
        <w:rPr>
          <w:lang w:val="en-GB"/>
        </w:rPr>
        <w:t>particular work</w:t>
      </w:r>
      <w:proofErr w:type="gramEnd"/>
      <w:r w:rsidRPr="00F46183">
        <w:rPr>
          <w:lang w:val="en-GB"/>
        </w:rPr>
        <w:t xml:space="preserve"> centers on the Italian Gothic, considered a distinctive phenomenon molded by the prevalent classical narrative, while also being impacted by the Catholic Church and a distinct demarcation between high and low culture.</w:t>
      </w:r>
      <w:r>
        <w:rPr>
          <w:lang w:val="en-GB"/>
        </w:rPr>
        <w:t xml:space="preserve"> </w:t>
      </w:r>
      <w:r w:rsidRPr="00F46183">
        <w:rPr>
          <w:lang w:val="en-GB"/>
        </w:rPr>
        <w:t>In conclusion, although the recognition and exploration of this complexity has been slowed by the denial of the existence of an Italian Gothic, both nationally (since the thematic critics of the 1980s: Calvino, Orlando, Ghidetti) and internationally, building on the recent Edinburgh Companion to the Italian Gothic, we call for a re-evaluation of traditional narratives. By delving into the dialectic between the material and the immaterial, the visible and the invisible, the prominent and the repressed, we contend that such a nuanced exploration of Italian cultural expressions and artifacts challenges established norms, interrogates the hegemony of classical ideals, and advocates for a more inclusive comprehension of Italian historical culture. This, in turn, contributes to a holistic understanding of the dynamic and evolving nature of the Italian Gothic heritage, showcasing its subversive and transgressive power that operates beyond normative boundaries.</w:t>
      </w:r>
      <w:r>
        <w:rPr>
          <w:lang w:val="en-GB"/>
        </w:rPr>
        <w:t xml:space="preserve"> </w:t>
      </w:r>
      <w:r>
        <w:rPr>
          <w:u w:val="single"/>
          <w:lang w:val="en-GB"/>
        </w:rPr>
        <w:t>Guest Editors</w:t>
      </w:r>
      <w:r>
        <w:rPr>
          <w:lang w:val="en-GB"/>
        </w:rPr>
        <w:t>: Gennaro Ambrosino, Enrica Leydi, Stefano Serafini</w:t>
      </w:r>
    </w:p>
    <w:p w14:paraId="719126EB" w14:textId="77777777" w:rsidR="00F46183" w:rsidRDefault="00F46183" w:rsidP="00373DFD">
      <w:pPr>
        <w:jc w:val="left"/>
        <w:rPr>
          <w:lang w:val="en-GB"/>
        </w:rPr>
      </w:pPr>
    </w:p>
    <w:p w14:paraId="2A842F6A" w14:textId="77777777" w:rsidR="00F46183" w:rsidRDefault="00F46183" w:rsidP="00373DFD">
      <w:pPr>
        <w:jc w:val="left"/>
        <w:rPr>
          <w:lang w:val="en-GB"/>
        </w:rPr>
      </w:pPr>
    </w:p>
    <w:p w14:paraId="0DE1C669" w14:textId="3E474A6B" w:rsidR="00373DFD" w:rsidRDefault="00373DFD" w:rsidP="00373DFD">
      <w:pPr>
        <w:jc w:val="right"/>
        <w:rPr>
          <w:lang w:val="en-GB"/>
        </w:rPr>
      </w:pPr>
      <w:r>
        <w:rPr>
          <w:lang w:val="en-GB"/>
        </w:rPr>
        <w:t>Professor Fabio Camilletti, PhD, PhD</w:t>
      </w:r>
    </w:p>
    <w:p w14:paraId="7B1B13CE" w14:textId="3FCF4F5E" w:rsidR="00373DFD" w:rsidRPr="00F46183" w:rsidRDefault="00373DFD" w:rsidP="00373DFD">
      <w:pPr>
        <w:jc w:val="right"/>
        <w:rPr>
          <w:lang w:val="en-GB"/>
        </w:rPr>
      </w:pPr>
      <w:r>
        <w:rPr>
          <w:lang w:val="en-GB"/>
        </w:rPr>
        <w:t>Warwick SMLC</w:t>
      </w:r>
    </w:p>
    <w:sectPr w:rsidR="00373DFD" w:rsidRPr="00F46183" w:rsidSect="00B80EF9">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423C15"/>
    <w:multiLevelType w:val="hybridMultilevel"/>
    <w:tmpl w:val="F81C04E2"/>
    <w:lvl w:ilvl="0" w:tplc="0750014C">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755812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5A0"/>
    <w:rsid w:val="0032551F"/>
    <w:rsid w:val="00373DFD"/>
    <w:rsid w:val="003A4499"/>
    <w:rsid w:val="00400B2A"/>
    <w:rsid w:val="00535F9D"/>
    <w:rsid w:val="005A33FA"/>
    <w:rsid w:val="005A5486"/>
    <w:rsid w:val="007D05A0"/>
    <w:rsid w:val="008622B8"/>
    <w:rsid w:val="008C137B"/>
    <w:rsid w:val="009E4280"/>
    <w:rsid w:val="00A1765E"/>
    <w:rsid w:val="00AB2DBA"/>
    <w:rsid w:val="00B12F96"/>
    <w:rsid w:val="00B80EF9"/>
    <w:rsid w:val="00BC5599"/>
    <w:rsid w:val="00C03411"/>
    <w:rsid w:val="00C7442F"/>
    <w:rsid w:val="00CB2617"/>
    <w:rsid w:val="00DB67F5"/>
    <w:rsid w:val="00E71D19"/>
    <w:rsid w:val="00E856EA"/>
    <w:rsid w:val="00F46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71EB8"/>
  <w14:defaultImageDpi w14:val="32767"/>
  <w15:chartTrackingRefBased/>
  <w15:docId w15:val="{45D2AB06-A72B-2842-A535-F2A77FDCA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B2617"/>
    <w:pPr>
      <w:jc w:val="both"/>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semiHidden/>
    <w:unhideWhenUsed/>
    <w:qFormat/>
    <w:rsid w:val="00DB67F5"/>
    <w:rPr>
      <w:sz w:val="22"/>
      <w:szCs w:val="20"/>
    </w:rPr>
  </w:style>
  <w:style w:type="character" w:customStyle="1" w:styleId="FootnoteTextChar">
    <w:name w:val="Footnote Text Char"/>
    <w:basedOn w:val="DefaultParagraphFont"/>
    <w:link w:val="FootnoteText"/>
    <w:uiPriority w:val="99"/>
    <w:semiHidden/>
    <w:rsid w:val="00DB67F5"/>
    <w:rPr>
      <w:rFonts w:ascii="Times New Roman" w:hAnsi="Times New Roman"/>
      <w:sz w:val="22"/>
      <w:szCs w:val="20"/>
    </w:rPr>
  </w:style>
  <w:style w:type="paragraph" w:styleId="ListParagraph">
    <w:name w:val="List Paragraph"/>
    <w:basedOn w:val="Normal"/>
    <w:uiPriority w:val="34"/>
    <w:qFormat/>
    <w:rsid w:val="005A33FA"/>
    <w:pPr>
      <w:ind w:left="720"/>
      <w:contextualSpacing/>
    </w:pPr>
  </w:style>
  <w:style w:type="character" w:styleId="Hyperlink">
    <w:name w:val="Hyperlink"/>
    <w:basedOn w:val="DefaultParagraphFont"/>
    <w:uiPriority w:val="99"/>
    <w:unhideWhenUsed/>
    <w:rsid w:val="005A33FA"/>
    <w:rPr>
      <w:color w:val="0563C1" w:themeColor="hyperlink"/>
      <w:u w:val="single"/>
    </w:rPr>
  </w:style>
  <w:style w:type="character" w:styleId="UnresolvedMention">
    <w:name w:val="Unresolved Mention"/>
    <w:basedOn w:val="DefaultParagraphFont"/>
    <w:uiPriority w:val="99"/>
    <w:rsid w:val="005A33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344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modernlanguages/research/italian/event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4" ma:contentTypeDescription="Create a new document." ma:contentTypeScope="" ma:versionID="c59ec028fb53553eead2de81d951a3a9">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7738783fea73116fc480bdc0a39b8590"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A0C157D1-B7D9-40BC-AF48-844AEBFEA1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AF9E2D-66E5-45BC-B42C-4D70934E8EBF}">
  <ds:schemaRefs>
    <ds:schemaRef ds:uri="http://schemas.microsoft.com/sharepoint/v3/contenttype/forms"/>
  </ds:schemaRefs>
</ds:datastoreItem>
</file>

<file path=customXml/itemProps3.xml><?xml version="1.0" encoding="utf-8"?>
<ds:datastoreItem xmlns:ds="http://schemas.openxmlformats.org/officeDocument/2006/customXml" ds:itemID="{6679F02B-1119-48CC-AA0E-3A097F2DDC6F}">
  <ds:schemaRefs>
    <ds:schemaRef ds:uri="1b521863-0d43-4984-9bd9-43f55b030d45"/>
    <ds:schemaRef ds:uri="http://schemas.microsoft.com/office/2006/documentManagement/types"/>
    <ds:schemaRef ds:uri="http://schemas.microsoft.com/office/2006/metadata/properties"/>
    <ds:schemaRef ds:uri="http://purl.org/dc/elements/1.1/"/>
    <ds:schemaRef ds:uri="http://purl.org/dc/terms/"/>
    <ds:schemaRef ds:uri="http://purl.org/dc/dcmitype/"/>
    <ds:schemaRef ds:uri="http://schemas.microsoft.com/office/infopath/2007/PartnerControls"/>
    <ds:schemaRef ds:uri="http://schemas.openxmlformats.org/package/2006/metadata/core-properties"/>
    <ds:schemaRef ds:uri="0e59eb6a-8b70-423c-ab35-2757f375297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1546</Words>
  <Characters>8816</Characters>
  <Application>Microsoft Office Word</Application>
  <DocSecurity>0</DocSecurity>
  <Lines>73</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Camilletti, Fabio</dc:creator>
  <cp:keywords/>
  <dc:description/>
  <cp:lastModifiedBy>Rae, Sue</cp:lastModifiedBy>
  <cp:revision>2</cp:revision>
  <dcterms:created xsi:type="dcterms:W3CDTF">2024-02-05T11:39:00Z</dcterms:created>
  <dcterms:modified xsi:type="dcterms:W3CDTF">2024-02-05T11:39:00Z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