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DFE436" w14:textId="5D33A1AB" w:rsidR="00B874B7" w:rsidRPr="00BD166D" w:rsidRDefault="00F71CB0">
      <w:pPr>
        <w:rPr>
          <w:rFonts w:ascii="Calibri" w:hAnsi="Calibri" w:cs="Calibri"/>
          <w:color w:val="000000" w:themeColor="text1"/>
          <w:sz w:val="22"/>
          <w:szCs w:val="22"/>
        </w:rPr>
      </w:pPr>
      <w:r w:rsidRPr="00BD166D">
        <w:rPr>
          <w:rFonts w:ascii="Calibri" w:hAnsi="Calibri" w:cs="Calibri"/>
          <w:color w:val="000000" w:themeColor="text1"/>
          <w:sz w:val="22"/>
          <w:szCs w:val="22"/>
        </w:rPr>
        <w:t>HRC conference report</w:t>
      </w:r>
    </w:p>
    <w:p w14:paraId="5D28D823" w14:textId="0C2B2EA6" w:rsidR="001F0DDB" w:rsidRPr="00BD166D" w:rsidRDefault="00F71CB0">
      <w:pPr>
        <w:rPr>
          <w:rFonts w:ascii="Calibri" w:hAnsi="Calibri" w:cs="Calibri"/>
          <w:color w:val="000000" w:themeColor="text1"/>
          <w:sz w:val="22"/>
          <w:szCs w:val="22"/>
        </w:rPr>
      </w:pPr>
      <w:r w:rsidRPr="00BD166D">
        <w:rPr>
          <w:rFonts w:ascii="Calibri" w:hAnsi="Calibri" w:cs="Calibri"/>
          <w:color w:val="000000" w:themeColor="text1"/>
          <w:sz w:val="22"/>
          <w:szCs w:val="22"/>
        </w:rPr>
        <w:t>Edible Boundaries: Food, identity and the material culture of eating and drinking</w:t>
      </w:r>
    </w:p>
    <w:p w14:paraId="17AE4827" w14:textId="03300019" w:rsidR="001F0DDB" w:rsidRPr="00BD166D" w:rsidRDefault="001F0DDB">
      <w:pPr>
        <w:rPr>
          <w:rFonts w:ascii="Calibri" w:hAnsi="Calibri" w:cs="Calibri"/>
          <w:color w:val="000000" w:themeColor="text1"/>
          <w:sz w:val="22"/>
          <w:szCs w:val="22"/>
        </w:rPr>
      </w:pPr>
      <w:r w:rsidRPr="00BD166D">
        <w:rPr>
          <w:rFonts w:ascii="Calibri" w:hAnsi="Calibri" w:cs="Calibri"/>
          <w:color w:val="000000" w:themeColor="text1"/>
          <w:sz w:val="22"/>
          <w:szCs w:val="22"/>
        </w:rPr>
        <w:t>The organization of this conference was kindly funded by the Humanities Research Centre Doctoral Fellowship competition, awarded to Jingyang Xu and Eloisa Ocand-Thomas. On top of the generous £1,250 provided by the HRC, the Global History and Culture Centre and the Early Modern and Eighteenth Century Centre each contributed</w:t>
      </w:r>
      <w:r w:rsidR="00FF685E" w:rsidRPr="00BD166D">
        <w:rPr>
          <w:rFonts w:ascii="Calibri" w:hAnsi="Calibri" w:cs="Calibri"/>
          <w:color w:val="000000" w:themeColor="text1"/>
          <w:sz w:val="22"/>
          <w:szCs w:val="22"/>
          <w:lang w:eastAsia="zh-CN"/>
        </w:rPr>
        <w:t xml:space="preserve"> </w:t>
      </w:r>
      <w:r w:rsidRPr="00BD166D">
        <w:rPr>
          <w:rFonts w:ascii="Calibri" w:hAnsi="Calibri" w:cs="Calibri"/>
          <w:color w:val="000000" w:themeColor="text1"/>
          <w:sz w:val="22"/>
          <w:szCs w:val="22"/>
        </w:rPr>
        <w:t>£250. The conference was held on March 14, 2026, in the Institute for Advanced Studies Conference room in the University.</w:t>
      </w:r>
    </w:p>
    <w:p w14:paraId="432466B6" w14:textId="18DC1363" w:rsidR="001F0DDB" w:rsidRPr="00BD166D" w:rsidRDefault="001F0DDB">
      <w:pPr>
        <w:rPr>
          <w:rFonts w:ascii="Calibri" w:hAnsi="Calibri" w:cs="Calibri"/>
          <w:color w:val="000000" w:themeColor="text1"/>
          <w:sz w:val="22"/>
          <w:szCs w:val="22"/>
        </w:rPr>
      </w:pPr>
      <w:r w:rsidRPr="00BD166D">
        <w:rPr>
          <w:rFonts w:ascii="Calibri" w:hAnsi="Calibri" w:cs="Calibri"/>
          <w:color w:val="000000" w:themeColor="text1"/>
          <w:sz w:val="22"/>
          <w:szCs w:val="22"/>
        </w:rPr>
        <w:t>In this one-day interdisciplinary conference, our speakers explored the relationships between food, identities and power dynamics. From medieval feasts to McDonald</w:t>
      </w:r>
      <w:r w:rsidR="00FF685E" w:rsidRPr="00BD166D">
        <w:rPr>
          <w:rFonts w:ascii="Calibri" w:hAnsi="Calibri" w:cs="Calibri"/>
          <w:color w:val="000000" w:themeColor="text1"/>
          <w:sz w:val="22"/>
          <w:szCs w:val="22"/>
          <w:lang w:eastAsia="zh-CN"/>
        </w:rPr>
        <w:t>’</w:t>
      </w:r>
      <w:r w:rsidRPr="00BD166D">
        <w:rPr>
          <w:rFonts w:ascii="Calibri" w:hAnsi="Calibri" w:cs="Calibri"/>
          <w:color w:val="000000" w:themeColor="text1"/>
          <w:sz w:val="22"/>
          <w:szCs w:val="22"/>
        </w:rPr>
        <w:t>s, we aim to explore the complex interplay between what we eat, how we eat, and who we are.</w:t>
      </w:r>
    </w:p>
    <w:p w14:paraId="27C9A870" w14:textId="1D99D118" w:rsidR="001F0DDB" w:rsidRPr="00BD166D" w:rsidRDefault="001F0DDB" w:rsidP="001F0DDB">
      <w:pPr>
        <w:rPr>
          <w:rFonts w:ascii="Calibri" w:hAnsi="Calibri" w:cs="Calibri"/>
          <w:color w:val="000000" w:themeColor="text1"/>
          <w:sz w:val="22"/>
          <w:szCs w:val="22"/>
          <w:lang w:eastAsia="zh-CN"/>
        </w:rPr>
      </w:pPr>
      <w:r w:rsidRPr="00BD166D">
        <w:rPr>
          <w:rFonts w:ascii="Calibri" w:hAnsi="Calibri" w:cs="Calibri"/>
          <w:color w:val="000000" w:themeColor="text1"/>
          <w:sz w:val="22"/>
          <w:szCs w:val="22"/>
        </w:rPr>
        <w:t xml:space="preserve">Our main aim </w:t>
      </w:r>
      <w:r w:rsidR="00FF685E" w:rsidRPr="00BD166D">
        <w:rPr>
          <w:rFonts w:ascii="Calibri" w:eastAsiaTheme="minorHAnsi" w:hAnsi="Calibri" w:cs="Calibri"/>
          <w:color w:val="000000" w:themeColor="text1"/>
          <w:sz w:val="22"/>
          <w:szCs w:val="22"/>
          <w:lang w:eastAsia="zh-CN"/>
        </w:rPr>
        <w:t>was</w:t>
      </w:r>
      <w:r w:rsidRPr="00BD166D">
        <w:rPr>
          <w:rFonts w:ascii="Calibri" w:hAnsi="Calibri" w:cs="Calibri"/>
          <w:color w:val="000000" w:themeColor="text1"/>
          <w:sz w:val="22"/>
          <w:szCs w:val="22"/>
        </w:rPr>
        <w:t xml:space="preserve"> to ground theoretical discussions on food, production, eating and drinking into concrete spaces and social actors.</w:t>
      </w:r>
      <w:r w:rsidR="0063292D" w:rsidRPr="00BD166D">
        <w:rPr>
          <w:rFonts w:ascii="Calibri" w:hAnsi="Calibri" w:cs="Calibri"/>
          <w:color w:val="000000" w:themeColor="text1"/>
          <w:sz w:val="22"/>
          <w:szCs w:val="22"/>
          <w:lang w:eastAsia="zh-CN"/>
        </w:rPr>
        <w:t xml:space="preserve"> The conference used food and drink as a way to examine questions of identity, material culture, social practice, and power across different historical and geographical contexts.</w:t>
      </w:r>
      <w:r w:rsidRPr="00BD166D">
        <w:rPr>
          <w:rFonts w:ascii="Calibri" w:hAnsi="Calibri" w:cs="Calibri"/>
          <w:color w:val="000000" w:themeColor="text1"/>
          <w:sz w:val="22"/>
          <w:szCs w:val="22"/>
        </w:rPr>
        <w:t xml:space="preserve"> </w:t>
      </w:r>
      <w:r w:rsidRPr="00BD166D">
        <w:rPr>
          <w:rFonts w:ascii="Calibri" w:hAnsi="Calibri" w:cs="Calibri"/>
          <w:bCs/>
          <w:color w:val="000000" w:themeColor="text1"/>
          <w:sz w:val="22"/>
          <w:szCs w:val="22"/>
        </w:rPr>
        <w:t>Edible Boundaries</w:t>
      </w:r>
      <w:r w:rsidRPr="00BD166D">
        <w:rPr>
          <w:rFonts w:ascii="Calibri" w:hAnsi="Calibri" w:cs="Calibri"/>
          <w:color w:val="000000" w:themeColor="text1"/>
          <w:sz w:val="22"/>
          <w:szCs w:val="22"/>
        </w:rPr>
        <w:t xml:space="preserve"> invites participants to savour this complexity, exploring how the simple act of eating reveals the deepest layers of human experience.</w:t>
      </w:r>
    </w:p>
    <w:p w14:paraId="7E4F8A9B" w14:textId="4B978DAB" w:rsidR="001F0DDB" w:rsidRPr="00BD166D" w:rsidRDefault="001F0DDB" w:rsidP="001F0DDB">
      <w:pPr>
        <w:rPr>
          <w:rFonts w:ascii="Calibri" w:hAnsi="Calibri" w:cs="Calibri"/>
          <w:color w:val="000000" w:themeColor="text1"/>
          <w:sz w:val="22"/>
          <w:szCs w:val="22"/>
        </w:rPr>
      </w:pPr>
      <w:r w:rsidRPr="00BD166D">
        <w:rPr>
          <w:rFonts w:ascii="Calibri" w:hAnsi="Calibri" w:cs="Calibri"/>
          <w:color w:val="000000" w:themeColor="text1"/>
          <w:sz w:val="22"/>
          <w:szCs w:val="22"/>
        </w:rPr>
        <w:t>Aiming to bring together scholars working in the humanities and social sciences leading new conversations about food and drink, we distributed the call for papers widely. By December 15 2025, we had received 52 paper proposals.</w:t>
      </w:r>
      <w:r w:rsidR="00F60A67" w:rsidRPr="00BD166D">
        <w:rPr>
          <w:rFonts w:ascii="Calibri" w:hAnsi="Calibri" w:cs="Calibri"/>
          <w:color w:val="000000" w:themeColor="text1"/>
          <w:sz w:val="22"/>
          <w:szCs w:val="22"/>
        </w:rPr>
        <w:t xml:space="preserve"> Proposals came from scholars all around the UK, as well as from Europe and Asia. We received 5 proposals from scholars based in Asia, 5 from scholars based in Europe and 3 from scholars based in North America. We received a mix of proposals from doctoral students as well as early career researchers with and without posts.</w:t>
      </w:r>
      <w:r w:rsidRPr="00BD166D">
        <w:rPr>
          <w:rFonts w:ascii="Calibri" w:hAnsi="Calibri" w:cs="Calibri"/>
          <w:color w:val="000000" w:themeColor="text1"/>
          <w:sz w:val="22"/>
          <w:szCs w:val="22"/>
        </w:rPr>
        <w:t xml:space="preserve"> Due to time constraints, we were only able to accept 8 papers, split into panels.</w:t>
      </w:r>
    </w:p>
    <w:p w14:paraId="24975F7D" w14:textId="2E4DF631" w:rsidR="00F60A67" w:rsidRPr="00BD166D" w:rsidRDefault="001F0DDB" w:rsidP="00F60A67">
      <w:pPr>
        <w:rPr>
          <w:rFonts w:ascii="Calibri" w:hAnsi="Calibri" w:cs="Calibri"/>
          <w:color w:val="000000" w:themeColor="text1"/>
          <w:sz w:val="22"/>
          <w:szCs w:val="22"/>
        </w:rPr>
      </w:pPr>
      <w:r w:rsidRPr="00BD166D">
        <w:rPr>
          <w:rFonts w:ascii="Calibri" w:hAnsi="Calibri" w:cs="Calibri"/>
          <w:color w:val="000000" w:themeColor="text1"/>
          <w:sz w:val="22"/>
          <w:szCs w:val="22"/>
        </w:rPr>
        <w:t>The morning opened with registration and coffee, with activities starting at 10.15 am. Our keynote speaker on the day was Prof. Em. Anne Murcott, from SOAS and the University of Nottingham. Prof. Murcott very kindly agreed to</w:t>
      </w:r>
      <w:r w:rsidR="00F60A67" w:rsidRPr="00BD166D">
        <w:rPr>
          <w:rFonts w:ascii="Calibri" w:hAnsi="Calibri" w:cs="Calibri"/>
          <w:color w:val="000000" w:themeColor="text1"/>
          <w:sz w:val="22"/>
          <w:szCs w:val="22"/>
        </w:rPr>
        <w:t xml:space="preserve"> deliver a thought-provoking keynote titled “I hadn’t noticed it was missing until I started looking for it…’: the case of food packaging”.</w:t>
      </w:r>
    </w:p>
    <w:p w14:paraId="362A0176" w14:textId="50C34226" w:rsidR="00F60A67" w:rsidRPr="00BD166D" w:rsidRDefault="00F60A67" w:rsidP="00F60A67">
      <w:pPr>
        <w:rPr>
          <w:rFonts w:ascii="Calibri" w:hAnsi="Calibri" w:cs="Calibri"/>
          <w:color w:val="000000" w:themeColor="text1"/>
          <w:sz w:val="22"/>
          <w:szCs w:val="22"/>
        </w:rPr>
      </w:pPr>
      <w:bookmarkStart w:id="0" w:name="OLE_LINK79"/>
      <w:bookmarkStart w:id="1" w:name="OLE_LINK80"/>
      <w:bookmarkStart w:id="2" w:name="OLE_LINK81"/>
      <w:r w:rsidRPr="00BD166D">
        <w:rPr>
          <w:rFonts w:ascii="Calibri" w:hAnsi="Calibri" w:cs="Calibri"/>
          <w:color w:val="000000" w:themeColor="text1"/>
          <w:sz w:val="22"/>
          <w:szCs w:val="22"/>
        </w:rPr>
        <w:t>The talk recount</w:t>
      </w:r>
      <w:r w:rsidR="00EE0BC1" w:rsidRPr="00BD166D">
        <w:rPr>
          <w:rFonts w:ascii="Calibri" w:hAnsi="Calibri" w:cs="Calibri"/>
          <w:color w:val="000000" w:themeColor="text1"/>
          <w:sz w:val="22"/>
          <w:szCs w:val="22"/>
        </w:rPr>
        <w:t>ed</w:t>
      </w:r>
      <w:r w:rsidRPr="00BD166D">
        <w:rPr>
          <w:rFonts w:ascii="Calibri" w:hAnsi="Calibri" w:cs="Calibri"/>
          <w:color w:val="000000" w:themeColor="text1"/>
          <w:sz w:val="22"/>
          <w:szCs w:val="22"/>
        </w:rPr>
        <w:t xml:space="preserve"> how Prof. Murcott came to write ‘The (not so) secret lives of food packaging’ (Bloomsbury 2024) and why she wrote it the way she did</w:t>
      </w:r>
      <w:r w:rsidR="00FF685E" w:rsidRPr="00BD166D">
        <w:rPr>
          <w:rFonts w:ascii="Calibri" w:hAnsi="Calibri" w:cs="Calibri"/>
          <w:color w:val="000000" w:themeColor="text1"/>
          <w:sz w:val="22"/>
          <w:szCs w:val="22"/>
          <w:lang w:eastAsia="zh-CN"/>
        </w:rPr>
        <w:t xml:space="preserve"> through three detailed examples on packaging</w:t>
      </w:r>
      <w:r w:rsidRPr="00BD166D">
        <w:rPr>
          <w:rFonts w:ascii="Calibri" w:hAnsi="Calibri" w:cs="Calibri"/>
          <w:color w:val="000000" w:themeColor="text1"/>
          <w:sz w:val="22"/>
          <w:szCs w:val="22"/>
        </w:rPr>
        <w:t>. The book is not about any baleful import of advertising or ingenious design, nor is it about the adverse consequences of microplastics or the Great Pacific Garbage Patch, litter or recycling. Instead it goes behind those important problems, dedicated to tackling the question ‘how did the current food packaging landscape come about?’. To do so, it considers histories of several types of packages, among them tea chests and glass bottles, sacks and tin cans. But it also tackles the question by asking ‘why this package rather than another?’ Borrowing analytic orientations from Science and Technology Studies (STS) the book is a first not last word on the topic, accompanied by an aspiration that others may also find the topic intriguing, enough to pursue it all in greater and clearer detail. In her keynote, Prof. Murcott went over the case studies that sparked interest into the study of food packaging and how these have evolved through time.</w:t>
      </w:r>
    </w:p>
    <w:bookmarkEnd w:id="0"/>
    <w:bookmarkEnd w:id="1"/>
    <w:bookmarkEnd w:id="2"/>
    <w:p w14:paraId="2EAE06E5" w14:textId="7871AA42" w:rsidR="00F60A67" w:rsidRPr="00BD166D" w:rsidRDefault="00F60A67" w:rsidP="00F60A67">
      <w:pPr>
        <w:rPr>
          <w:rFonts w:ascii="Calibri" w:hAnsi="Calibri" w:cs="Calibri"/>
          <w:color w:val="000000" w:themeColor="text1"/>
          <w:sz w:val="22"/>
          <w:szCs w:val="22"/>
        </w:rPr>
      </w:pPr>
      <w:r w:rsidRPr="00BD166D">
        <w:rPr>
          <w:rFonts w:ascii="Calibri" w:hAnsi="Calibri" w:cs="Calibri"/>
          <w:color w:val="000000" w:themeColor="text1"/>
          <w:sz w:val="22"/>
          <w:szCs w:val="22"/>
        </w:rPr>
        <w:t xml:space="preserve">After a short break, we started with the panels. Prof. Beat Kumin (History) kindly agreed to chair panel 1 “Food embodying boundaries and relationships”. This was a shorter panel, as we only had </w:t>
      </w:r>
      <w:r w:rsidRPr="00BD166D">
        <w:rPr>
          <w:rFonts w:ascii="Calibri" w:hAnsi="Calibri" w:cs="Calibri"/>
          <w:color w:val="000000" w:themeColor="text1"/>
          <w:sz w:val="22"/>
          <w:szCs w:val="22"/>
        </w:rPr>
        <w:lastRenderedPageBreak/>
        <w:t xml:space="preserve">Natalie Williams (Historic Royal Palaces) and </w:t>
      </w:r>
      <w:bookmarkStart w:id="3" w:name="OLE_LINK82"/>
      <w:bookmarkStart w:id="4" w:name="OLE_LINK83"/>
      <w:r w:rsidRPr="00BD166D">
        <w:rPr>
          <w:rFonts w:ascii="Calibri" w:hAnsi="Calibri" w:cs="Calibri"/>
          <w:color w:val="000000" w:themeColor="text1"/>
          <w:sz w:val="22"/>
          <w:szCs w:val="22"/>
        </w:rPr>
        <w:t>Adam Crymble</w:t>
      </w:r>
      <w:bookmarkEnd w:id="3"/>
      <w:bookmarkEnd w:id="4"/>
      <w:r w:rsidRPr="00BD166D">
        <w:rPr>
          <w:rFonts w:ascii="Calibri" w:hAnsi="Calibri" w:cs="Calibri"/>
          <w:color w:val="000000" w:themeColor="text1"/>
          <w:sz w:val="22"/>
          <w:szCs w:val="22"/>
        </w:rPr>
        <w:t xml:space="preserve"> (UCL) presenting papers. After lunch, panel 2 was chaired by Prof. Rebecca Earle (History), on the theme of “Global and local food traditions”. This panel had Brendan Tam (University of Warwick), Kimberly Glassman (University of Cambridge) and Matia Yotova (Ritsumeikan University, Japan). Panel 3 was chaired by one of the organizers, Eloisa, and was on the topic of “Cook’s agency”. </w:t>
      </w:r>
      <w:r w:rsidR="00FF685E" w:rsidRPr="00BD166D">
        <w:rPr>
          <w:rFonts w:ascii="Calibri" w:hAnsi="Calibri" w:cs="Calibri"/>
          <w:color w:val="000000" w:themeColor="text1"/>
          <w:sz w:val="22"/>
          <w:szCs w:val="22"/>
          <w:lang w:eastAsia="zh-CN"/>
        </w:rPr>
        <w:t>On</w:t>
      </w:r>
      <w:r w:rsidRPr="00BD166D">
        <w:rPr>
          <w:rFonts w:ascii="Calibri" w:hAnsi="Calibri" w:cs="Calibri"/>
          <w:color w:val="000000" w:themeColor="text1"/>
          <w:sz w:val="22"/>
          <w:szCs w:val="22"/>
        </w:rPr>
        <w:t xml:space="preserve"> this occasion, we heard the contributions of Michela Siuni (SOAS), Alasdair McNeill (</w:t>
      </w:r>
      <w:bookmarkStart w:id="5" w:name="OLE_LINK86"/>
      <w:bookmarkStart w:id="6" w:name="OLE_LINK87"/>
      <w:bookmarkStart w:id="7" w:name="OLE_LINK84"/>
      <w:bookmarkStart w:id="8" w:name="OLE_LINK85"/>
      <w:r w:rsidRPr="00BD166D">
        <w:rPr>
          <w:rFonts w:ascii="Calibri" w:hAnsi="Calibri" w:cs="Calibri"/>
          <w:color w:val="000000" w:themeColor="text1"/>
          <w:sz w:val="22"/>
          <w:szCs w:val="22"/>
        </w:rPr>
        <w:t>Bir</w:t>
      </w:r>
      <w:r w:rsidR="00FF685E" w:rsidRPr="00BD166D">
        <w:rPr>
          <w:rFonts w:ascii="Calibri" w:hAnsi="Calibri" w:cs="Calibri"/>
          <w:color w:val="000000" w:themeColor="text1"/>
          <w:sz w:val="22"/>
          <w:szCs w:val="22"/>
          <w:lang w:eastAsia="zh-CN"/>
        </w:rPr>
        <w:t>k</w:t>
      </w:r>
      <w:r w:rsidRPr="00BD166D">
        <w:rPr>
          <w:rFonts w:ascii="Calibri" w:hAnsi="Calibri" w:cs="Calibri"/>
          <w:color w:val="000000" w:themeColor="text1"/>
          <w:sz w:val="22"/>
          <w:szCs w:val="22"/>
        </w:rPr>
        <w:t>beck</w:t>
      </w:r>
      <w:bookmarkEnd w:id="5"/>
      <w:bookmarkEnd w:id="6"/>
      <w:r w:rsidRPr="00BD166D">
        <w:rPr>
          <w:rFonts w:ascii="Calibri" w:hAnsi="Calibri" w:cs="Calibri"/>
          <w:color w:val="000000" w:themeColor="text1"/>
          <w:sz w:val="22"/>
          <w:szCs w:val="22"/>
        </w:rPr>
        <w:t xml:space="preserve"> University of London</w:t>
      </w:r>
      <w:bookmarkEnd w:id="7"/>
      <w:bookmarkEnd w:id="8"/>
      <w:r w:rsidRPr="00BD166D">
        <w:rPr>
          <w:rFonts w:ascii="Calibri" w:hAnsi="Calibri" w:cs="Calibri"/>
          <w:color w:val="000000" w:themeColor="text1"/>
          <w:sz w:val="22"/>
          <w:szCs w:val="22"/>
        </w:rPr>
        <w:t>) and Mohammad Ahmar Alvi (Brunel University).</w:t>
      </w:r>
    </w:p>
    <w:p w14:paraId="7DCAD650" w14:textId="2EB01F7D" w:rsidR="00EE0BC1" w:rsidRPr="00BD166D" w:rsidRDefault="00EE0BC1" w:rsidP="00F60A67">
      <w:pPr>
        <w:rPr>
          <w:rFonts w:ascii="Calibri" w:hAnsi="Calibri" w:cs="Calibri"/>
          <w:color w:val="000000" w:themeColor="text1"/>
          <w:sz w:val="22"/>
          <w:szCs w:val="22"/>
        </w:rPr>
      </w:pPr>
      <w:bookmarkStart w:id="9" w:name="OLE_LINK77"/>
      <w:bookmarkStart w:id="10" w:name="OLE_LINK78"/>
      <w:r w:rsidRPr="00BD166D">
        <w:rPr>
          <w:rFonts w:ascii="Calibri" w:hAnsi="Calibri" w:cs="Calibri"/>
          <w:color w:val="000000" w:themeColor="text1"/>
          <w:sz w:val="22"/>
          <w:szCs w:val="22"/>
        </w:rPr>
        <w:t>Beyond our eight speakers and our keynote, we welcomed a full room of around 15 attendees, as well as some helpers and the organizers. These included some undergraduate students from Warwick, and early career researchers from Warwick and other universities (</w:t>
      </w:r>
      <w:r w:rsidR="00FF685E" w:rsidRPr="00BD166D">
        <w:rPr>
          <w:rFonts w:ascii="Calibri" w:hAnsi="Calibri" w:cs="Calibri"/>
          <w:color w:val="000000" w:themeColor="text1"/>
          <w:sz w:val="22"/>
          <w:szCs w:val="22"/>
        </w:rPr>
        <w:t>Bir</w:t>
      </w:r>
      <w:r w:rsidR="00FF685E" w:rsidRPr="00BD166D">
        <w:rPr>
          <w:rFonts w:ascii="Calibri" w:hAnsi="Calibri" w:cs="Calibri"/>
          <w:color w:val="000000" w:themeColor="text1"/>
          <w:sz w:val="22"/>
          <w:szCs w:val="22"/>
          <w:lang w:eastAsia="zh-CN"/>
        </w:rPr>
        <w:t>k</w:t>
      </w:r>
      <w:r w:rsidR="00FF685E" w:rsidRPr="00BD166D">
        <w:rPr>
          <w:rFonts w:ascii="Calibri" w:hAnsi="Calibri" w:cs="Calibri"/>
          <w:color w:val="000000" w:themeColor="text1"/>
          <w:sz w:val="22"/>
          <w:szCs w:val="22"/>
        </w:rPr>
        <w:t>beck</w:t>
      </w:r>
      <w:r w:rsidRPr="00BD166D">
        <w:rPr>
          <w:rFonts w:ascii="Calibri" w:hAnsi="Calibri" w:cs="Calibri"/>
          <w:color w:val="000000" w:themeColor="text1"/>
          <w:sz w:val="22"/>
          <w:szCs w:val="22"/>
        </w:rPr>
        <w:t>, SOAS, UCL).</w:t>
      </w:r>
    </w:p>
    <w:p w14:paraId="41F304FB" w14:textId="097DB49B" w:rsidR="00EE0BC1" w:rsidRPr="00BD166D" w:rsidRDefault="00EE0BC1" w:rsidP="00F60A67">
      <w:pPr>
        <w:rPr>
          <w:rFonts w:ascii="Calibri" w:hAnsi="Calibri" w:cs="Calibri"/>
          <w:color w:val="000000" w:themeColor="text1"/>
          <w:sz w:val="22"/>
          <w:szCs w:val="22"/>
          <w:lang w:eastAsia="zh-CN"/>
        </w:rPr>
      </w:pPr>
      <w:r w:rsidRPr="00BD166D">
        <w:rPr>
          <w:rFonts w:ascii="Calibri" w:hAnsi="Calibri" w:cs="Calibri"/>
          <w:color w:val="000000" w:themeColor="text1"/>
          <w:sz w:val="22"/>
          <w:szCs w:val="22"/>
        </w:rPr>
        <w:t>Our speakers covered a wide array of topics, from the idea of “hand taste” among Korean cooks in London to the notion of caste identity in India through food choice and the use of turtles as political gifts in 18</w:t>
      </w:r>
      <w:r w:rsidRPr="00BD166D">
        <w:rPr>
          <w:rFonts w:ascii="Calibri" w:hAnsi="Calibri" w:cs="Calibri"/>
          <w:color w:val="000000" w:themeColor="text1"/>
          <w:sz w:val="22"/>
          <w:szCs w:val="22"/>
          <w:vertAlign w:val="superscript"/>
        </w:rPr>
        <w:t>th</w:t>
      </w:r>
      <w:r w:rsidRPr="00BD166D">
        <w:rPr>
          <w:rFonts w:ascii="Calibri" w:hAnsi="Calibri" w:cs="Calibri"/>
          <w:color w:val="000000" w:themeColor="text1"/>
          <w:sz w:val="22"/>
          <w:szCs w:val="22"/>
        </w:rPr>
        <w:t xml:space="preserve">-century Britain. From the use of “novel” spices like rosemary in early modern cuisine, to the menu demands of Tudor courtiers and the political use of yogurts in </w:t>
      </w:r>
      <w:r w:rsidR="00083691" w:rsidRPr="00BD166D">
        <w:rPr>
          <w:rFonts w:ascii="Calibri" w:hAnsi="Calibri" w:cs="Calibri"/>
          <w:color w:val="000000" w:themeColor="text1"/>
          <w:sz w:val="22"/>
          <w:szCs w:val="22"/>
        </w:rPr>
        <w:t xml:space="preserve">contemporary </w:t>
      </w:r>
      <w:r w:rsidRPr="00BD166D">
        <w:rPr>
          <w:rFonts w:ascii="Calibri" w:hAnsi="Calibri" w:cs="Calibri"/>
          <w:color w:val="000000" w:themeColor="text1"/>
          <w:sz w:val="22"/>
          <w:szCs w:val="22"/>
        </w:rPr>
        <w:t>Japan, our speakers actively disentangled the overlapping meanings of food, eating and drinking.</w:t>
      </w:r>
      <w:r w:rsidR="0063292D" w:rsidRPr="00BD166D">
        <w:rPr>
          <w:rFonts w:ascii="Calibri" w:hAnsi="Calibri" w:cs="Calibri"/>
          <w:color w:val="000000" w:themeColor="text1"/>
          <w:sz w:val="22"/>
          <w:szCs w:val="22"/>
          <w:lang w:eastAsia="zh-CN"/>
        </w:rPr>
        <w:t xml:space="preserve"> The conference was interdisciplinary not only in its subject matter but also in the range of participants it brought together. Speakers and chairs included historians, sociologists and anthropologists, and researchers based in heritage and public-facing institutions, including Historic Royal Palaces. This mix allowed the conference to move across academic, heritage, and public-history contexts, and helped frame food and drink as subjects that connect material culture, social practice, identity, memory, and power.</w:t>
      </w:r>
      <w:r w:rsidRPr="00BD166D">
        <w:rPr>
          <w:rFonts w:ascii="Calibri" w:hAnsi="Calibri" w:cs="Calibri"/>
          <w:color w:val="000000" w:themeColor="text1"/>
          <w:sz w:val="22"/>
          <w:szCs w:val="22"/>
        </w:rPr>
        <w:t xml:space="preserve"> Of course, this was not a final discussion: </w:t>
      </w:r>
      <w:r w:rsidR="00FF685E" w:rsidRPr="00BD166D">
        <w:rPr>
          <w:rFonts w:ascii="Calibri" w:hAnsi="Calibri" w:cs="Calibri"/>
          <w:color w:val="000000" w:themeColor="text1"/>
          <w:sz w:val="22"/>
          <w:szCs w:val="22"/>
          <w:lang w:eastAsia="zh-CN"/>
        </w:rPr>
        <w:t xml:space="preserve">the conference generated strong interest in developing the presented papers </w:t>
      </w:r>
      <w:r w:rsidRPr="00BD166D">
        <w:rPr>
          <w:rFonts w:ascii="Calibri" w:hAnsi="Calibri" w:cs="Calibri"/>
          <w:color w:val="000000" w:themeColor="text1"/>
          <w:sz w:val="22"/>
          <w:szCs w:val="22"/>
        </w:rPr>
        <w:t>into a future publicatio</w:t>
      </w:r>
      <w:r w:rsidR="00541D2F" w:rsidRPr="00BD166D">
        <w:rPr>
          <w:rFonts w:ascii="Calibri" w:hAnsi="Calibri" w:cs="Calibri"/>
          <w:color w:val="000000" w:themeColor="text1"/>
          <w:sz w:val="22"/>
          <w:szCs w:val="22"/>
          <w:lang w:eastAsia="zh-CN"/>
        </w:rPr>
        <w:t>n.</w:t>
      </w:r>
    </w:p>
    <w:p w14:paraId="1DFBF7CC" w14:textId="0C0609AE" w:rsidR="00F71CB0" w:rsidRPr="00BD166D" w:rsidRDefault="00EE0BC1">
      <w:pPr>
        <w:rPr>
          <w:rFonts w:ascii="Calibri" w:hAnsi="Calibri" w:cs="Calibri"/>
          <w:color w:val="000000" w:themeColor="text1"/>
          <w:sz w:val="22"/>
          <w:szCs w:val="22"/>
          <w:lang w:eastAsia="zh-CN"/>
        </w:rPr>
      </w:pPr>
      <w:r w:rsidRPr="00BD166D">
        <w:rPr>
          <w:rFonts w:ascii="Calibri" w:hAnsi="Calibri" w:cs="Calibri"/>
          <w:color w:val="000000" w:themeColor="text1"/>
          <w:sz w:val="22"/>
          <w:szCs w:val="22"/>
        </w:rPr>
        <w:t xml:space="preserve">In this sense, we expect to proceed with the organization of an edited volume, to be submitted for consideration to Routledge’s Warwick Series in the Humanities. As a rough timeline, we would like to get the full-length papers from speakers in late summer 2026 with a </w:t>
      </w:r>
      <w:r w:rsidR="002E4F27" w:rsidRPr="00BD166D">
        <w:rPr>
          <w:rFonts w:ascii="Calibri" w:hAnsi="Calibri" w:cs="Calibri"/>
          <w:color w:val="000000" w:themeColor="text1"/>
          <w:sz w:val="22"/>
          <w:szCs w:val="22"/>
          <w:lang w:eastAsia="zh-CN"/>
        </w:rPr>
        <w:t>preliminary</w:t>
      </w:r>
      <w:r w:rsidRPr="00BD166D">
        <w:rPr>
          <w:rFonts w:ascii="Calibri" w:hAnsi="Calibri" w:cs="Calibri"/>
          <w:color w:val="000000" w:themeColor="text1"/>
          <w:sz w:val="22"/>
          <w:szCs w:val="22"/>
        </w:rPr>
        <w:t xml:space="preserve"> draft ready by the Autumn of 2026.</w:t>
      </w:r>
      <w:r w:rsidR="00541D2F" w:rsidRPr="00BD166D">
        <w:rPr>
          <w:rFonts w:ascii="Calibri" w:hAnsi="Calibri" w:cs="Calibri"/>
          <w:color w:val="000000" w:themeColor="text1"/>
          <w:sz w:val="22"/>
          <w:szCs w:val="22"/>
          <w:lang w:eastAsia="zh-CN"/>
        </w:rPr>
        <w:t xml:space="preserve"> The prospective list of contributors may extend beyond the eight conference speakers. As noted above, we received a large number of strong proposals but could only accommodate eight papers within the one-day programme. We may therefore consider inviting selected additional contributors whose proposals fit the intellectual scope of the volume, subject to the quality of the full papers and the coherence of the collection.</w:t>
      </w:r>
    </w:p>
    <w:bookmarkEnd w:id="9"/>
    <w:bookmarkEnd w:id="10"/>
    <w:p w14:paraId="414EB4E3" w14:textId="77777777" w:rsidR="00F71CB0" w:rsidRPr="00BD166D" w:rsidRDefault="00F71CB0">
      <w:pPr>
        <w:rPr>
          <w:rFonts w:ascii="Calibri" w:hAnsi="Calibri" w:cs="Calibri"/>
          <w:color w:val="000000" w:themeColor="text1"/>
          <w:sz w:val="22"/>
          <w:szCs w:val="22"/>
        </w:rPr>
      </w:pPr>
    </w:p>
    <w:sectPr w:rsidR="00F71CB0" w:rsidRPr="00BD166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DengXian Light">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DengXian">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1CB0"/>
    <w:rsid w:val="00050C7C"/>
    <w:rsid w:val="00083691"/>
    <w:rsid w:val="000E3977"/>
    <w:rsid w:val="00156926"/>
    <w:rsid w:val="001D0F63"/>
    <w:rsid w:val="001F0DDB"/>
    <w:rsid w:val="002026A2"/>
    <w:rsid w:val="002E4F27"/>
    <w:rsid w:val="005043BE"/>
    <w:rsid w:val="00541D2F"/>
    <w:rsid w:val="00625D0E"/>
    <w:rsid w:val="006267F1"/>
    <w:rsid w:val="0063292D"/>
    <w:rsid w:val="00647683"/>
    <w:rsid w:val="008A4EDE"/>
    <w:rsid w:val="00976C3E"/>
    <w:rsid w:val="00981F2D"/>
    <w:rsid w:val="00A96AB5"/>
    <w:rsid w:val="00AF10BC"/>
    <w:rsid w:val="00AF5796"/>
    <w:rsid w:val="00B41475"/>
    <w:rsid w:val="00B874B7"/>
    <w:rsid w:val="00BD166D"/>
    <w:rsid w:val="00BE679C"/>
    <w:rsid w:val="00D7662A"/>
    <w:rsid w:val="00D87A9D"/>
    <w:rsid w:val="00E17CA5"/>
    <w:rsid w:val="00EE0BC1"/>
    <w:rsid w:val="00F60A67"/>
    <w:rsid w:val="00F71CB0"/>
    <w:rsid w:val="00FF685E"/>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D22F96"/>
  <w15:chartTrackingRefBased/>
  <w15:docId w15:val="{D159699A-3D52-44AB-AABC-3EF8AC531D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SimSun"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17CA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E679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17CA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71CB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71CB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71CB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71CB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71CB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71CB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e1Guille">
    <w:name w:val="Title1 Guille"/>
    <w:basedOn w:val="Heading1"/>
    <w:next w:val="Normal"/>
    <w:link w:val="Title1GuilleCar"/>
    <w:autoRedefine/>
    <w:qFormat/>
    <w:rsid w:val="00981F2D"/>
    <w:pPr>
      <w:spacing w:before="240" w:after="0" w:line="276" w:lineRule="auto"/>
      <w:jc w:val="center"/>
    </w:pPr>
    <w:rPr>
      <w:rFonts w:ascii="Times New Roman" w:hAnsi="Times New Roman" w:cs="Times New Roman"/>
      <w:b/>
      <w:sz w:val="24"/>
      <w:szCs w:val="32"/>
      <w:lang w:val="es-VE"/>
    </w:rPr>
  </w:style>
  <w:style w:type="character" w:customStyle="1" w:styleId="Title1GuilleCar">
    <w:name w:val="Title1 Guille Car"/>
    <w:basedOn w:val="Heading1Char"/>
    <w:link w:val="Title1Guille"/>
    <w:rsid w:val="00981F2D"/>
    <w:rPr>
      <w:rFonts w:ascii="Times New Roman" w:eastAsiaTheme="majorEastAsia" w:hAnsi="Times New Roman" w:cs="Times New Roman"/>
      <w:b/>
      <w:color w:val="0F4761" w:themeColor="accent1" w:themeShade="BF"/>
      <w:sz w:val="40"/>
      <w:szCs w:val="32"/>
      <w:lang w:val="es-VE"/>
    </w:rPr>
  </w:style>
  <w:style w:type="character" w:customStyle="1" w:styleId="Heading1Char">
    <w:name w:val="Heading 1 Char"/>
    <w:basedOn w:val="DefaultParagraphFont"/>
    <w:link w:val="Heading1"/>
    <w:uiPriority w:val="9"/>
    <w:rsid w:val="00E17CA5"/>
    <w:rPr>
      <w:rFonts w:asciiTheme="majorHAnsi" w:eastAsiaTheme="majorEastAsia" w:hAnsiTheme="majorHAnsi" w:cstheme="majorBidi"/>
      <w:color w:val="0F4761" w:themeColor="accent1" w:themeShade="BF"/>
      <w:sz w:val="40"/>
      <w:szCs w:val="40"/>
    </w:rPr>
  </w:style>
  <w:style w:type="paragraph" w:customStyle="1" w:styleId="Title3Guille">
    <w:name w:val="Title3 Guille"/>
    <w:basedOn w:val="Heading3"/>
    <w:next w:val="Normal"/>
    <w:link w:val="Title3GuilleCar"/>
    <w:autoRedefine/>
    <w:qFormat/>
    <w:rsid w:val="00B41475"/>
    <w:pPr>
      <w:spacing w:before="40" w:after="0" w:line="259" w:lineRule="auto"/>
    </w:pPr>
    <w:rPr>
      <w:rFonts w:asciiTheme="majorHAnsi" w:hAnsiTheme="majorHAnsi"/>
      <w:i/>
      <w:color w:val="0A2F40" w:themeColor="accent1" w:themeShade="7F"/>
      <w:sz w:val="24"/>
      <w:szCs w:val="24"/>
    </w:rPr>
  </w:style>
  <w:style w:type="character" w:customStyle="1" w:styleId="Title3GuilleCar">
    <w:name w:val="Title3 Guille Car"/>
    <w:basedOn w:val="Heading3Char"/>
    <w:link w:val="Title3Guille"/>
    <w:rsid w:val="00B41475"/>
    <w:rPr>
      <w:rFonts w:asciiTheme="majorHAnsi" w:eastAsiaTheme="majorEastAsia" w:hAnsiTheme="majorHAnsi" w:cstheme="majorBidi"/>
      <w:i/>
      <w:color w:val="0A2F40" w:themeColor="accent1" w:themeShade="7F"/>
      <w:sz w:val="28"/>
      <w:szCs w:val="28"/>
    </w:rPr>
  </w:style>
  <w:style w:type="character" w:customStyle="1" w:styleId="Heading3Char">
    <w:name w:val="Heading 3 Char"/>
    <w:basedOn w:val="DefaultParagraphFont"/>
    <w:link w:val="Heading3"/>
    <w:uiPriority w:val="9"/>
    <w:semiHidden/>
    <w:rsid w:val="00E17CA5"/>
    <w:rPr>
      <w:rFonts w:eastAsiaTheme="majorEastAsia" w:cstheme="majorBidi"/>
      <w:color w:val="0F4761" w:themeColor="accent1" w:themeShade="BF"/>
      <w:sz w:val="28"/>
      <w:szCs w:val="28"/>
    </w:rPr>
  </w:style>
  <w:style w:type="paragraph" w:customStyle="1" w:styleId="Title2Guille">
    <w:name w:val="Title2 Guille"/>
    <w:basedOn w:val="Heading2"/>
    <w:next w:val="Normal"/>
    <w:link w:val="Title2GuilleCar"/>
    <w:autoRedefine/>
    <w:qFormat/>
    <w:rsid w:val="00981F2D"/>
    <w:pPr>
      <w:spacing w:before="40" w:after="0" w:line="276" w:lineRule="auto"/>
    </w:pPr>
    <w:rPr>
      <w:rFonts w:ascii="Times New Roman" w:hAnsi="Times New Roman" w:cs="Times New Roman"/>
      <w:b/>
      <w:sz w:val="24"/>
      <w:szCs w:val="26"/>
      <w:lang w:val="es-VE"/>
    </w:rPr>
  </w:style>
  <w:style w:type="character" w:customStyle="1" w:styleId="Title2GuilleCar">
    <w:name w:val="Title2 Guille Car"/>
    <w:basedOn w:val="Heading2Char"/>
    <w:link w:val="Title2Guille"/>
    <w:rsid w:val="00981F2D"/>
    <w:rPr>
      <w:rFonts w:ascii="Times New Roman" w:eastAsiaTheme="majorEastAsia" w:hAnsi="Times New Roman" w:cs="Times New Roman"/>
      <w:b/>
      <w:color w:val="0F4761" w:themeColor="accent1" w:themeShade="BF"/>
      <w:sz w:val="32"/>
      <w:szCs w:val="26"/>
      <w:lang w:val="es-VE"/>
    </w:rPr>
  </w:style>
  <w:style w:type="character" w:customStyle="1" w:styleId="Heading2Char">
    <w:name w:val="Heading 2 Char"/>
    <w:basedOn w:val="DefaultParagraphFont"/>
    <w:link w:val="Heading2"/>
    <w:uiPriority w:val="9"/>
    <w:semiHidden/>
    <w:rsid w:val="00BE679C"/>
    <w:rPr>
      <w:rFonts w:asciiTheme="majorHAnsi" w:eastAsiaTheme="majorEastAsia" w:hAnsiTheme="majorHAnsi" w:cstheme="majorBidi"/>
      <w:color w:val="0F4761" w:themeColor="accent1" w:themeShade="BF"/>
      <w:sz w:val="32"/>
      <w:szCs w:val="32"/>
    </w:rPr>
  </w:style>
  <w:style w:type="paragraph" w:customStyle="1" w:styleId="Title2Guille0">
    <w:name w:val="Title 2 Guille"/>
    <w:basedOn w:val="Heading2"/>
    <w:link w:val="Title2GuilleCar0"/>
    <w:autoRedefine/>
    <w:qFormat/>
    <w:rsid w:val="00B41475"/>
    <w:pPr>
      <w:spacing w:before="40" w:after="0" w:line="276" w:lineRule="auto"/>
      <w:jc w:val="both"/>
    </w:pPr>
    <w:rPr>
      <w:b/>
      <w:sz w:val="24"/>
      <w:szCs w:val="26"/>
    </w:rPr>
  </w:style>
  <w:style w:type="character" w:customStyle="1" w:styleId="Title2GuilleCar0">
    <w:name w:val="Title 2 Guille Car"/>
    <w:basedOn w:val="Heading2Char"/>
    <w:link w:val="Title2Guille0"/>
    <w:rsid w:val="00B41475"/>
    <w:rPr>
      <w:rFonts w:asciiTheme="majorHAnsi" w:eastAsiaTheme="majorEastAsia" w:hAnsiTheme="majorHAnsi" w:cstheme="majorBidi"/>
      <w:b/>
      <w:color w:val="0F4761" w:themeColor="accent1" w:themeShade="BF"/>
      <w:sz w:val="32"/>
      <w:szCs w:val="26"/>
    </w:rPr>
  </w:style>
  <w:style w:type="character" w:customStyle="1" w:styleId="Heading4Char">
    <w:name w:val="Heading 4 Char"/>
    <w:basedOn w:val="DefaultParagraphFont"/>
    <w:link w:val="Heading4"/>
    <w:uiPriority w:val="9"/>
    <w:semiHidden/>
    <w:rsid w:val="00F71CB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71CB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71CB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71CB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71CB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71CB0"/>
    <w:rPr>
      <w:rFonts w:eastAsiaTheme="majorEastAsia" w:cstheme="majorBidi"/>
      <w:color w:val="272727" w:themeColor="text1" w:themeTint="D8"/>
    </w:rPr>
  </w:style>
  <w:style w:type="paragraph" w:styleId="Title">
    <w:name w:val="Title"/>
    <w:basedOn w:val="Normal"/>
    <w:next w:val="Normal"/>
    <w:link w:val="TitleChar"/>
    <w:uiPriority w:val="10"/>
    <w:qFormat/>
    <w:rsid w:val="00F71CB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71CB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71CB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71CB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71CB0"/>
    <w:pPr>
      <w:spacing w:before="160"/>
      <w:jc w:val="center"/>
    </w:pPr>
    <w:rPr>
      <w:i/>
      <w:iCs/>
      <w:color w:val="404040" w:themeColor="text1" w:themeTint="BF"/>
    </w:rPr>
  </w:style>
  <w:style w:type="character" w:customStyle="1" w:styleId="QuoteChar">
    <w:name w:val="Quote Char"/>
    <w:basedOn w:val="DefaultParagraphFont"/>
    <w:link w:val="Quote"/>
    <w:uiPriority w:val="29"/>
    <w:rsid w:val="00F71CB0"/>
    <w:rPr>
      <w:i/>
      <w:iCs/>
      <w:color w:val="404040" w:themeColor="text1" w:themeTint="BF"/>
    </w:rPr>
  </w:style>
  <w:style w:type="paragraph" w:styleId="ListParagraph">
    <w:name w:val="List Paragraph"/>
    <w:basedOn w:val="Normal"/>
    <w:uiPriority w:val="34"/>
    <w:qFormat/>
    <w:rsid w:val="00F71CB0"/>
    <w:pPr>
      <w:ind w:left="720"/>
      <w:contextualSpacing/>
    </w:pPr>
  </w:style>
  <w:style w:type="character" w:styleId="IntenseEmphasis">
    <w:name w:val="Intense Emphasis"/>
    <w:basedOn w:val="DefaultParagraphFont"/>
    <w:uiPriority w:val="21"/>
    <w:qFormat/>
    <w:rsid w:val="00F71CB0"/>
    <w:rPr>
      <w:i/>
      <w:iCs/>
      <w:color w:val="0F4761" w:themeColor="accent1" w:themeShade="BF"/>
    </w:rPr>
  </w:style>
  <w:style w:type="paragraph" w:styleId="IntenseQuote">
    <w:name w:val="Intense Quote"/>
    <w:basedOn w:val="Normal"/>
    <w:next w:val="Normal"/>
    <w:link w:val="IntenseQuoteChar"/>
    <w:uiPriority w:val="30"/>
    <w:qFormat/>
    <w:rsid w:val="00F71CB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71CB0"/>
    <w:rPr>
      <w:i/>
      <w:iCs/>
      <w:color w:val="0F4761" w:themeColor="accent1" w:themeShade="BF"/>
    </w:rPr>
  </w:style>
  <w:style w:type="character" w:styleId="IntenseReference">
    <w:name w:val="Intense Reference"/>
    <w:basedOn w:val="DefaultParagraphFont"/>
    <w:uiPriority w:val="32"/>
    <w:qFormat/>
    <w:rsid w:val="00F71CB0"/>
    <w:rPr>
      <w:b/>
      <w:bCs/>
      <w:smallCaps/>
      <w:color w:val="0F4761" w:themeColor="accent1" w:themeShade="BF"/>
      <w:spacing w:val="5"/>
    </w:rPr>
  </w:style>
  <w:style w:type="paragraph" w:styleId="NormalWeb">
    <w:name w:val="Normal (Web)"/>
    <w:basedOn w:val="Normal"/>
    <w:uiPriority w:val="99"/>
    <w:semiHidden/>
    <w:unhideWhenUsed/>
    <w:rsid w:val="001F0DDB"/>
    <w:rPr>
      <w:rFonts w:ascii="Times New Roman" w:hAnsi="Times New Roman" w:cs="Times New Roman"/>
    </w:rPr>
  </w:style>
  <w:style w:type="character" w:styleId="CommentReference">
    <w:name w:val="annotation reference"/>
    <w:basedOn w:val="DefaultParagraphFont"/>
    <w:uiPriority w:val="99"/>
    <w:semiHidden/>
    <w:unhideWhenUsed/>
    <w:rsid w:val="00FF685E"/>
    <w:rPr>
      <w:sz w:val="16"/>
      <w:szCs w:val="16"/>
    </w:rPr>
  </w:style>
  <w:style w:type="paragraph" w:styleId="CommentText">
    <w:name w:val="annotation text"/>
    <w:basedOn w:val="Normal"/>
    <w:link w:val="CommentTextChar"/>
    <w:uiPriority w:val="99"/>
    <w:semiHidden/>
    <w:unhideWhenUsed/>
    <w:rsid w:val="00FF685E"/>
    <w:pPr>
      <w:spacing w:line="240" w:lineRule="auto"/>
    </w:pPr>
    <w:rPr>
      <w:sz w:val="20"/>
      <w:szCs w:val="20"/>
    </w:rPr>
  </w:style>
  <w:style w:type="character" w:customStyle="1" w:styleId="CommentTextChar">
    <w:name w:val="Comment Text Char"/>
    <w:basedOn w:val="DefaultParagraphFont"/>
    <w:link w:val="CommentText"/>
    <w:uiPriority w:val="99"/>
    <w:semiHidden/>
    <w:rsid w:val="00FF685E"/>
    <w:rPr>
      <w:sz w:val="20"/>
      <w:szCs w:val="20"/>
    </w:rPr>
  </w:style>
  <w:style w:type="paragraph" w:styleId="CommentSubject">
    <w:name w:val="annotation subject"/>
    <w:basedOn w:val="CommentText"/>
    <w:next w:val="CommentText"/>
    <w:link w:val="CommentSubjectChar"/>
    <w:uiPriority w:val="99"/>
    <w:semiHidden/>
    <w:unhideWhenUsed/>
    <w:rsid w:val="00FF685E"/>
    <w:rPr>
      <w:b/>
      <w:bCs/>
    </w:rPr>
  </w:style>
  <w:style w:type="character" w:customStyle="1" w:styleId="CommentSubjectChar">
    <w:name w:val="Comment Subject Char"/>
    <w:basedOn w:val="CommentTextChar"/>
    <w:link w:val="CommentSubject"/>
    <w:uiPriority w:val="99"/>
    <w:semiHidden/>
    <w:rsid w:val="00FF685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954</Words>
  <Characters>5440</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Eloisa Thomas</dc:creator>
  <cp:keywords/>
  <dc:description/>
  <cp:lastModifiedBy>Rae, Sue</cp:lastModifiedBy>
  <cp:revision>3</cp:revision>
  <dcterms:created xsi:type="dcterms:W3CDTF">2026-05-05T16:49:00Z</dcterms:created>
  <dcterms:modified xsi:type="dcterms:W3CDTF">2026-05-05T16:51:00Z</dcterms:modified>
</cp:coreProperties>
</file>