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2B3C7A" w14:textId="7D0A6A79" w:rsidR="000F17ED" w:rsidRDefault="00CF62E5" w:rsidP="00CF62E5">
      <w:pPr>
        <w:pStyle w:val="Title"/>
      </w:pPr>
      <w:r>
        <w:t>Humanities Research Centre / British Epigraphy Socie</w:t>
      </w:r>
      <w:r w:rsidR="00636968">
        <w:t>t</w:t>
      </w:r>
      <w:r>
        <w:t>y</w:t>
      </w:r>
    </w:p>
    <w:p w14:paraId="218F3EB5" w14:textId="1914BFE1" w:rsidR="00CF62E5" w:rsidRDefault="00CF62E5" w:rsidP="00CF62E5">
      <w:pPr>
        <w:pStyle w:val="Heading1"/>
      </w:pPr>
      <w:r>
        <w:t>Collecting Antiquities in the British Isles</w:t>
      </w:r>
    </w:p>
    <w:p w14:paraId="62298543" w14:textId="35793834" w:rsidR="00CF62E5" w:rsidRDefault="00CF62E5">
      <w:r>
        <w:t xml:space="preserve">Twenty-one delegates attended this </w:t>
      </w:r>
      <w:r w:rsidR="00636968">
        <w:t xml:space="preserve">one-day </w:t>
      </w:r>
      <w:r>
        <w:t>colloquium held at the University of Warwick on Saturday 11</w:t>
      </w:r>
      <w:r w:rsidRPr="00CF62E5">
        <w:rPr>
          <w:vertAlign w:val="superscript"/>
        </w:rPr>
        <w:t>th</w:t>
      </w:r>
      <w:r>
        <w:t xml:space="preserve"> May. We heard papers from ten individuals, including postgraduates, international guests, and scholars from </w:t>
      </w:r>
      <w:r w:rsidR="00636968">
        <w:t xml:space="preserve">other </w:t>
      </w:r>
      <w:r>
        <w:t xml:space="preserve">UK universities. Two posters further extended the discussion. </w:t>
      </w:r>
    </w:p>
    <w:p w14:paraId="01C7FA4F" w14:textId="512E2641" w:rsidR="00CF62E5" w:rsidRDefault="00CF62E5">
      <w:r>
        <w:t>The aim of the colloquium was to explore the mechanisms and agents whereby classical antiquities entered Britain,</w:t>
      </w:r>
      <w:r w:rsidR="000639AD">
        <w:t xml:space="preserve"> and</w:t>
      </w:r>
      <w:r>
        <w:t xml:space="preserve"> how they experienced shifting life cycles. </w:t>
      </w:r>
      <w:r w:rsidR="000639AD">
        <w:t>Along the way</w:t>
      </w:r>
      <w:r>
        <w:t xml:space="preserve">, we discussed ways in which the academic community can collaborate with </w:t>
      </w:r>
      <w:r w:rsidR="00C566BC">
        <w:t xml:space="preserve">institutions like </w:t>
      </w:r>
      <w:r>
        <w:t xml:space="preserve">the National Trust as well as private owners in explaining the importance of these antiquities to the wider public. </w:t>
      </w:r>
    </w:p>
    <w:p w14:paraId="4E6DD847" w14:textId="0912DA8E" w:rsidR="00CF62E5" w:rsidRDefault="007C16C1">
      <w:r w:rsidRPr="001070BE">
        <w:rPr>
          <w:b/>
          <w:bCs/>
        </w:rPr>
        <w:t>Charlotte Woodhead (Warwick Law School)</w:t>
      </w:r>
      <w:r w:rsidR="007551AD">
        <w:rPr>
          <w:b/>
          <w:bCs/>
        </w:rPr>
        <w:t>, ‘Legal perspectives on collecting in the British Isles’,</w:t>
      </w:r>
      <w:r>
        <w:t xml:space="preserve"> explored the legal framework within which antiquities are brought into </w:t>
      </w:r>
      <w:r w:rsidR="003D5C53">
        <w:t>this country</w:t>
      </w:r>
      <w:r w:rsidR="00FF3A7C">
        <w:t>,</w:t>
      </w:r>
      <w:r w:rsidR="003D5C53">
        <w:t xml:space="preserve"> dr</w:t>
      </w:r>
      <w:r w:rsidR="00FF3A7C">
        <w:t>a</w:t>
      </w:r>
      <w:r w:rsidR="003D5C53">
        <w:t>w</w:t>
      </w:r>
      <w:r w:rsidR="00FF3A7C">
        <w:t>ing</w:t>
      </w:r>
      <w:r w:rsidR="003D5C53">
        <w:t xml:space="preserve"> attention to the importance of understanding </w:t>
      </w:r>
      <w:r w:rsidR="00EE03C8">
        <w:t xml:space="preserve">that this framework includes foreign laws, with the principle of purchasing in good faith being a distinctive part of this. </w:t>
      </w:r>
      <w:r w:rsidR="0016792B">
        <w:t xml:space="preserve">She set out the ways in which time, place, the nature of transfers, the laws in force, and ethical questions are all relevant to the transfer of antiquities. </w:t>
      </w:r>
      <w:r w:rsidR="00566DBE">
        <w:t xml:space="preserve">Of particular interest was the ensuing discussion around the tension between antiquities seen as private property and </w:t>
      </w:r>
      <w:r w:rsidR="00676638">
        <w:t xml:space="preserve">as belonging to cultural heritage in the public interest. </w:t>
      </w:r>
    </w:p>
    <w:p w14:paraId="414DCDF8" w14:textId="4531DD76" w:rsidR="006411EB" w:rsidRDefault="00F30E0E">
      <w:r w:rsidRPr="00821AD2">
        <w:rPr>
          <w:b/>
          <w:bCs/>
        </w:rPr>
        <w:t xml:space="preserve">Hardeep </w:t>
      </w:r>
      <w:r w:rsidR="007551AD" w:rsidRPr="00821AD2">
        <w:rPr>
          <w:b/>
          <w:bCs/>
        </w:rPr>
        <w:t>Dhindsa (KCL)</w:t>
      </w:r>
      <w:r w:rsidR="00821AD2" w:rsidRPr="00821AD2">
        <w:rPr>
          <w:b/>
          <w:bCs/>
        </w:rPr>
        <w:t xml:space="preserve">, ‘The classical and the colonial: visualising spatial and ideological separation in </w:t>
      </w:r>
      <w:r w:rsidR="003B1E7E" w:rsidRPr="00821AD2">
        <w:rPr>
          <w:b/>
          <w:bCs/>
        </w:rPr>
        <w:t>eig</w:t>
      </w:r>
      <w:r w:rsidR="003B1E7E">
        <w:rPr>
          <w:b/>
          <w:bCs/>
        </w:rPr>
        <w:t>h</w:t>
      </w:r>
      <w:r w:rsidR="003B1E7E" w:rsidRPr="00821AD2">
        <w:rPr>
          <w:b/>
          <w:bCs/>
        </w:rPr>
        <w:t>teenth</w:t>
      </w:r>
      <w:r w:rsidR="00821AD2" w:rsidRPr="00821AD2">
        <w:rPr>
          <w:b/>
          <w:bCs/>
        </w:rPr>
        <w:t>-century collections’</w:t>
      </w:r>
      <w:r w:rsidR="00821AD2">
        <w:rPr>
          <w:b/>
          <w:bCs/>
        </w:rPr>
        <w:t xml:space="preserve">, </w:t>
      </w:r>
      <w:r w:rsidR="00AF665D">
        <w:t xml:space="preserve">explored </w:t>
      </w:r>
      <w:r w:rsidR="00501441">
        <w:t>issues around cultural imperialism and trends in collecting</w:t>
      </w:r>
      <w:r w:rsidR="00FD38FE">
        <w:t xml:space="preserve">, presenting as a case-study </w:t>
      </w:r>
      <w:r w:rsidR="00AF665D">
        <w:t xml:space="preserve">how the well-known painting of </w:t>
      </w:r>
      <w:r w:rsidR="0012323C" w:rsidRPr="00B44A3C">
        <w:rPr>
          <w:i/>
          <w:iCs/>
        </w:rPr>
        <w:t>Charles Townley in his Sculpture Gallery</w:t>
      </w:r>
      <w:r w:rsidR="0012323C">
        <w:t xml:space="preserve"> of 1782 by Zoffany is an interpretative depiction rather than a </w:t>
      </w:r>
      <w:r w:rsidR="00591593">
        <w:t xml:space="preserve">likeness that was true to life, </w:t>
      </w:r>
      <w:r w:rsidR="006411EB">
        <w:t xml:space="preserve">with </w:t>
      </w:r>
      <w:r w:rsidR="00591593">
        <w:t xml:space="preserve">non-European items from India </w:t>
      </w:r>
      <w:r w:rsidR="006411EB">
        <w:t xml:space="preserve">being </w:t>
      </w:r>
      <w:r w:rsidR="00591593">
        <w:t xml:space="preserve">excluded </w:t>
      </w:r>
      <w:r w:rsidR="006411EB">
        <w:t xml:space="preserve">from </w:t>
      </w:r>
      <w:r w:rsidR="00591593">
        <w:t>the painting even though they were an important part of the collection</w:t>
      </w:r>
      <w:r w:rsidR="00AF665D">
        <w:t>.</w:t>
      </w:r>
      <w:r w:rsidR="00591593">
        <w:t xml:space="preserve"> </w:t>
      </w:r>
    </w:p>
    <w:p w14:paraId="341E750F" w14:textId="43D1694C" w:rsidR="004312B2" w:rsidRDefault="004312B2">
      <w:r w:rsidRPr="004312B2">
        <w:rPr>
          <w:b/>
          <w:bCs/>
        </w:rPr>
        <w:t>Alexandra Solovyev (Oxford), ‘Destruction committed ch</w:t>
      </w:r>
      <w:r>
        <w:rPr>
          <w:b/>
          <w:bCs/>
        </w:rPr>
        <w:t>iefly by the English’: British and Ottoman responses to J.T. Wood’s excavations at Ephesus’</w:t>
      </w:r>
      <w:r>
        <w:t xml:space="preserve">, </w:t>
      </w:r>
      <w:r w:rsidR="0061775D">
        <w:t xml:space="preserve">showed how </w:t>
      </w:r>
      <w:r w:rsidR="0062309F">
        <w:t xml:space="preserve">John Turtle </w:t>
      </w:r>
      <w:r w:rsidR="0061775D">
        <w:t xml:space="preserve">Wood represented himself as a heroic figure in his publication, </w:t>
      </w:r>
      <w:r w:rsidR="0061775D">
        <w:rPr>
          <w:i/>
          <w:iCs/>
        </w:rPr>
        <w:t>Discoveries at Ephesus</w:t>
      </w:r>
      <w:r w:rsidR="0062309F">
        <w:rPr>
          <w:i/>
          <w:iCs/>
        </w:rPr>
        <w:t xml:space="preserve">. </w:t>
      </w:r>
      <w:r w:rsidR="0063500B">
        <w:t xml:space="preserve">She </w:t>
      </w:r>
      <w:r w:rsidR="0062309F">
        <w:t xml:space="preserve">offered insights into </w:t>
      </w:r>
      <w:r w:rsidR="002E6C0A">
        <w:t>how Wood gave a negative depiction of locals’ appreciation of their own cultural heritage</w:t>
      </w:r>
      <w:r w:rsidR="0063500B">
        <w:t xml:space="preserve"> (a theme that was picked up in the following paper too)</w:t>
      </w:r>
      <w:r w:rsidR="002E6C0A">
        <w:t xml:space="preserve">, considering that the ‘English blood spilt in their cause’ during the Crimean War somehow justified his excavation and removal of antiquities on a huge scale from Ephesus. </w:t>
      </w:r>
      <w:r w:rsidR="00EA5738">
        <w:t xml:space="preserve">A lone voice criticising Wood’s exploits </w:t>
      </w:r>
      <w:r w:rsidR="00084898">
        <w:t xml:space="preserve">in Britain </w:t>
      </w:r>
      <w:r w:rsidR="00EA5738">
        <w:t>was that of Hyde Clake, publishing ‘The Destruction of Monuments in Turkey’</w:t>
      </w:r>
      <w:r w:rsidR="002E6C0A">
        <w:t xml:space="preserve"> </w:t>
      </w:r>
      <w:r w:rsidR="00084898">
        <w:t xml:space="preserve">in the </w:t>
      </w:r>
      <w:r w:rsidR="00084898">
        <w:rPr>
          <w:i/>
          <w:iCs/>
        </w:rPr>
        <w:t>Athenaeum</w:t>
      </w:r>
      <w:r w:rsidR="00084898">
        <w:t xml:space="preserve"> (8 January 1870), whilst the Ottoman regime took legislative </w:t>
      </w:r>
      <w:r w:rsidR="00122687">
        <w:t xml:space="preserve">steps </w:t>
      </w:r>
      <w:r w:rsidR="00084898">
        <w:t xml:space="preserve">to try to tighten up </w:t>
      </w:r>
      <w:r w:rsidR="00467918">
        <w:t xml:space="preserve">their control of Wood’s excavation. </w:t>
      </w:r>
    </w:p>
    <w:p w14:paraId="37FAE236" w14:textId="77777777" w:rsidR="009D0E69" w:rsidRDefault="00700587">
      <w:r>
        <w:rPr>
          <w:b/>
          <w:bCs/>
        </w:rPr>
        <w:t>Peter Liddel (Manchester)</w:t>
      </w:r>
      <w:r w:rsidR="004069D1">
        <w:rPr>
          <w:b/>
          <w:bCs/>
        </w:rPr>
        <w:t>, ‘Greek Inscriptions in the nineteenth</w:t>
      </w:r>
      <w:r w:rsidR="00E7397B">
        <w:rPr>
          <w:b/>
          <w:bCs/>
        </w:rPr>
        <w:t>-</w:t>
      </w:r>
      <w:r w:rsidR="004069D1">
        <w:rPr>
          <w:b/>
          <w:bCs/>
        </w:rPr>
        <w:t>century</w:t>
      </w:r>
      <w:r w:rsidR="00E7397B">
        <w:rPr>
          <w:b/>
          <w:bCs/>
        </w:rPr>
        <w:t xml:space="preserve"> British Museum</w:t>
      </w:r>
      <w:r w:rsidR="004069D1">
        <w:rPr>
          <w:b/>
          <w:bCs/>
        </w:rPr>
        <w:t>’</w:t>
      </w:r>
      <w:r>
        <w:rPr>
          <w:b/>
          <w:bCs/>
        </w:rPr>
        <w:t xml:space="preserve"> </w:t>
      </w:r>
      <w:r w:rsidR="004069D1" w:rsidRPr="004069D1">
        <w:t>traced</w:t>
      </w:r>
      <w:r w:rsidR="004069D1">
        <w:rPr>
          <w:b/>
          <w:bCs/>
        </w:rPr>
        <w:t xml:space="preserve"> </w:t>
      </w:r>
      <w:r w:rsidR="00C7033B">
        <w:t xml:space="preserve">narratives around the addition of </w:t>
      </w:r>
      <w:r w:rsidR="00E63E39">
        <w:t xml:space="preserve">Attic </w:t>
      </w:r>
      <w:r w:rsidR="00C7033B">
        <w:t>inscriptions to the British Museum over many decades</w:t>
      </w:r>
      <w:r w:rsidR="00E63E39">
        <w:t xml:space="preserve">, from the nineteenth up until the twenty-first century. </w:t>
      </w:r>
      <w:r w:rsidR="008E118B">
        <w:t xml:space="preserve">A strong impression of the impact of geopolitical influence emerged, with </w:t>
      </w:r>
      <w:r w:rsidR="00C1273A">
        <w:t xml:space="preserve">an important </w:t>
      </w:r>
      <w:r w:rsidR="008E118B">
        <w:t xml:space="preserve">role played by British diplomats </w:t>
      </w:r>
      <w:r w:rsidR="00F22DFC">
        <w:lastRenderedPageBreak/>
        <w:t xml:space="preserve">serving in the Aegean </w:t>
      </w:r>
      <w:r w:rsidR="008E118B">
        <w:t>in contributing inscriptions to the collection</w:t>
      </w:r>
      <w:r w:rsidR="00612F77">
        <w:t xml:space="preserve">, characterised at the time as acting </w:t>
      </w:r>
      <w:r w:rsidR="004E7F75">
        <w:t xml:space="preserve">through </w:t>
      </w:r>
      <w:r w:rsidR="00612F77">
        <w:t>public-spirited</w:t>
      </w:r>
      <w:r w:rsidR="004E7F75">
        <w:t xml:space="preserve"> motivations</w:t>
      </w:r>
      <w:r w:rsidR="008E118B">
        <w:t>.</w:t>
      </w:r>
      <w:r w:rsidR="004E7F75">
        <w:t xml:space="preserve"> </w:t>
      </w:r>
    </w:p>
    <w:p w14:paraId="6A1ABBB1" w14:textId="70622BFF" w:rsidR="00E84E6B" w:rsidRDefault="009D0E69">
      <w:r>
        <w:rPr>
          <w:b/>
          <w:bCs/>
        </w:rPr>
        <w:t xml:space="preserve">Alan Montgomery, ‘Authentick Vouchers of Antiquity’: collecting Roman inscriptions in eighteenth-century Scotland’, </w:t>
      </w:r>
      <w:r w:rsidR="00B3705B">
        <w:t xml:space="preserve">explored the ambivalent attitudes of Scots towards the Roman empire, at some times taking pleasure in the idea that their ancestors had successfully resisted the march of the Roman empire, but at others wishing to align </w:t>
      </w:r>
      <w:r w:rsidR="00CE2EE4">
        <w:t xml:space="preserve">themselves with the Roman ‘civilisers’. A number of case studies, including Cawder House, </w:t>
      </w:r>
      <w:r w:rsidR="002179B6">
        <w:t xml:space="preserve">Cochno House, Dunnottar </w:t>
      </w:r>
      <w:r w:rsidR="00786E0C">
        <w:t>C</w:t>
      </w:r>
      <w:r w:rsidR="002179B6">
        <w:t xml:space="preserve">astle, </w:t>
      </w:r>
      <w:r w:rsidR="00CE2EE4">
        <w:t>Kil</w:t>
      </w:r>
      <w:r w:rsidR="0000578D">
        <w:t xml:space="preserve">syth Castle, and Penicuik </w:t>
      </w:r>
      <w:r w:rsidR="006B266D">
        <w:t xml:space="preserve">House </w:t>
      </w:r>
      <w:r w:rsidR="00D86717">
        <w:t>illustrated how distance slabs from the Antonine</w:t>
      </w:r>
      <w:r w:rsidR="00F22DFC">
        <w:t xml:space="preserve"> </w:t>
      </w:r>
      <w:r w:rsidR="00D86717">
        <w:t>Wall were displayed in different contexts</w:t>
      </w:r>
      <w:r w:rsidR="009A0A61">
        <w:t xml:space="preserve">, contributing to a sense of </w:t>
      </w:r>
      <w:r w:rsidR="003E58C2">
        <w:t>cultural heritage</w:t>
      </w:r>
      <w:r w:rsidR="00D86717">
        <w:t>.</w:t>
      </w:r>
      <w:r w:rsidR="00AD7A4B">
        <w:t xml:space="preserve"> The case of </w:t>
      </w:r>
      <w:r w:rsidR="00AD7A4B" w:rsidRPr="00AD7A4B">
        <w:rPr>
          <w:i/>
          <w:iCs/>
        </w:rPr>
        <w:t>RIB</w:t>
      </w:r>
      <w:r w:rsidR="00AD7A4B">
        <w:rPr>
          <w:i/>
          <w:iCs/>
        </w:rPr>
        <w:t xml:space="preserve"> </w:t>
      </w:r>
      <w:r w:rsidR="00AD7A4B">
        <w:t xml:space="preserve">2191, believed to settle once for all who built the two Roman walls of Scotland </w:t>
      </w:r>
      <w:r w:rsidR="002A57AA">
        <w:t xml:space="preserve">in contrast to the inaccurate literary sources which </w:t>
      </w:r>
      <w:r w:rsidR="00E84E6B">
        <w:t xml:space="preserve">‘documented’ three walls, illustrated how even fragmentary inscriptions could be appreciated as ‘authentick vouchers of antiquity’. </w:t>
      </w:r>
    </w:p>
    <w:p w14:paraId="1BE1C237" w14:textId="1DA772D1" w:rsidR="00700587" w:rsidRPr="00C7033B" w:rsidRDefault="0013102C">
      <w:r>
        <w:rPr>
          <w:b/>
          <w:bCs/>
        </w:rPr>
        <w:t xml:space="preserve">Shushma Malik (Cambridge) and Jane Masseglia (Leicester), ‘It takes a village: actors and extras in the making of the ‘Bankes’ collection’, </w:t>
      </w:r>
      <w:r>
        <w:t xml:space="preserve">offered insights into the </w:t>
      </w:r>
      <w:r w:rsidR="00FC1BA9">
        <w:t>very partial account</w:t>
      </w:r>
      <w:r w:rsidR="00253EA5">
        <w:t xml:space="preserve"> (in all senses)</w:t>
      </w:r>
      <w:r w:rsidR="00FC1BA9">
        <w:t xml:space="preserve"> of the transportation and erection of the Philae Obelisk at Kingston Lacy (Dors</w:t>
      </w:r>
      <w:r w:rsidR="001C7C5C">
        <w:t>e</w:t>
      </w:r>
      <w:r w:rsidR="00FC1BA9">
        <w:t xml:space="preserve">t). </w:t>
      </w:r>
      <w:r w:rsidR="00955B28">
        <w:t xml:space="preserve">Whereas the bronze inscription at Kingston Lacey commemorated the roles of </w:t>
      </w:r>
      <w:r w:rsidR="00E9512B">
        <w:t xml:space="preserve">William John Bankes, </w:t>
      </w:r>
      <w:r w:rsidR="00F45A54">
        <w:t>the Duke of Wellington</w:t>
      </w:r>
      <w:r w:rsidR="00E9512B">
        <w:t>,</w:t>
      </w:r>
      <w:r w:rsidR="00F45A54">
        <w:t xml:space="preserve"> and George IV in its setting up, this paper </w:t>
      </w:r>
      <w:r w:rsidR="00C6254B">
        <w:t xml:space="preserve">showed that </w:t>
      </w:r>
      <w:r w:rsidR="00313095">
        <w:t xml:space="preserve">in </w:t>
      </w:r>
      <w:r w:rsidR="00C6254B">
        <w:t xml:space="preserve">reality hundreds of individuals </w:t>
      </w:r>
      <w:r w:rsidR="00313095">
        <w:t xml:space="preserve">were employed </w:t>
      </w:r>
      <w:r w:rsidR="00C6254B">
        <w:t xml:space="preserve">in transferring it from </w:t>
      </w:r>
      <w:r w:rsidR="000D69BB">
        <w:t>Philae up the Nile to Alexandria</w:t>
      </w:r>
      <w:r w:rsidR="00313095">
        <w:t xml:space="preserve"> (a treacherous boat journey across the cataracts)</w:t>
      </w:r>
      <w:r w:rsidR="000D69BB">
        <w:t xml:space="preserve">, then by ship to Deptford and by gun carriage to Dorset. </w:t>
      </w:r>
      <w:r w:rsidR="00B40342">
        <w:t xml:space="preserve">The difficulties were multiplied by the obelisk ‘slipping into’ the river Nile at the start of its journey, from where it had to be retrieved. </w:t>
      </w:r>
      <w:r w:rsidR="00425306">
        <w:t>All this happened against the backdrop of keen competition</w:t>
      </w:r>
      <w:r w:rsidR="00D86717">
        <w:t xml:space="preserve"> </w:t>
      </w:r>
      <w:r w:rsidR="00425306">
        <w:t xml:space="preserve">between the French and English, both of whom wished to appropriate the monument. </w:t>
      </w:r>
    </w:p>
    <w:p w14:paraId="4B56DC14" w14:textId="77777777" w:rsidR="006276BC" w:rsidRDefault="001075E2">
      <w:r>
        <w:rPr>
          <w:b/>
          <w:bCs/>
        </w:rPr>
        <w:t>Caroline Barron (Durham) ‘</w:t>
      </w:r>
      <w:r>
        <w:rPr>
          <w:b/>
          <w:bCs/>
          <w:i/>
          <w:iCs/>
        </w:rPr>
        <w:t xml:space="preserve">A Museum of Learned Lumber: </w:t>
      </w:r>
      <w:r>
        <w:rPr>
          <w:b/>
          <w:bCs/>
        </w:rPr>
        <w:t xml:space="preserve">Romano-British inscriptions at Rokeby Hall’, </w:t>
      </w:r>
      <w:r w:rsidR="00B25B5E">
        <w:t xml:space="preserve">offered insights into attitudes towards </w:t>
      </w:r>
      <w:r w:rsidR="005A29AF">
        <w:t>inscriptions of Roman Britain, as displayed at Rokeby Park</w:t>
      </w:r>
      <w:r w:rsidR="00933F1E">
        <w:t xml:space="preserve"> (County Durham)</w:t>
      </w:r>
      <w:r w:rsidR="005A29AF">
        <w:t xml:space="preserve">, where, unusually, they </w:t>
      </w:r>
      <w:r w:rsidR="00933F1E">
        <w:t>were originally set up alongside inscriptions from Rome</w:t>
      </w:r>
      <w:r w:rsidR="005A29AF">
        <w:t>.</w:t>
      </w:r>
      <w:r w:rsidR="00933F1E">
        <w:t xml:space="preserve"> Sir Francis Robinson</w:t>
      </w:r>
      <w:r w:rsidR="00C85B37">
        <w:t xml:space="preserve"> created a purpose-built museum in his home where they were all displayed until </w:t>
      </w:r>
      <w:r w:rsidR="00F83617">
        <w:t>1</w:t>
      </w:r>
      <w:r w:rsidR="00C85B37">
        <w:t>769</w:t>
      </w:r>
      <w:r w:rsidR="00F83617">
        <w:t>. At some point after this date, the Romano-British altars were then put up on their own in the garden</w:t>
      </w:r>
      <w:r w:rsidR="006276BC">
        <w:t xml:space="preserve">, evoking the proximity of the house to Romano-British archaeological sites. </w:t>
      </w:r>
    </w:p>
    <w:p w14:paraId="31F7A2C0" w14:textId="0236E8A6" w:rsidR="00467918" w:rsidRDefault="00584922">
      <w:r>
        <w:rPr>
          <w:b/>
          <w:bCs/>
        </w:rPr>
        <w:t xml:space="preserve">Benet Salway (UCL), ‘An unpublished cinerary casket and other Roman antiquities at Nymans House, Sussex’, </w:t>
      </w:r>
      <w:r>
        <w:t xml:space="preserve">showed how </w:t>
      </w:r>
      <w:r w:rsidR="007E0A26">
        <w:t>classical antiquities became incorporated into the design of the gardens at Nymans House, which became otherwise famous for its collection of exotic flora</w:t>
      </w:r>
      <w:r w:rsidR="00767DC3">
        <w:t>. Ludwig Messel, originally from a banking family in Darmstadt, moved to London where he established his own banking business in 1871</w:t>
      </w:r>
      <w:r w:rsidR="0025493F">
        <w:t>, acquiring Nymans</w:t>
      </w:r>
      <w:r w:rsidR="007E0A26">
        <w:t xml:space="preserve"> </w:t>
      </w:r>
      <w:r w:rsidR="0025493F">
        <w:t>House as his country residence. Three Roman inscriptions have stood in the gardens (fortunately, given that the house was gutted by fire)</w:t>
      </w:r>
      <w:r w:rsidR="00BE3029">
        <w:t>: one</w:t>
      </w:r>
      <w:r w:rsidR="007A0613">
        <w:t xml:space="preserve"> can be traced back to the collection of De Criscio in Pozzuoli</w:t>
      </w:r>
      <w:r w:rsidR="00663B60">
        <w:t>, whilst another was recorded found in ‘recent’ excavations in 1901</w:t>
      </w:r>
      <w:r w:rsidR="007A0613">
        <w:t xml:space="preserve">. </w:t>
      </w:r>
      <w:r w:rsidR="00072C2E">
        <w:t xml:space="preserve">The exportation of these three monuments takes on particular interest in the light of changing Italian legislation in the early 1900s. </w:t>
      </w:r>
    </w:p>
    <w:p w14:paraId="69F05A5D" w14:textId="7955BC8E" w:rsidR="00072C2E" w:rsidRDefault="0077488C">
      <w:r>
        <w:rPr>
          <w:b/>
          <w:bCs/>
        </w:rPr>
        <w:t xml:space="preserve">Alexander Thein (UCD), ‘A verse Latin funerary inscription in University College Dublin’, </w:t>
      </w:r>
      <w:r w:rsidR="007C5D8E">
        <w:t>offered intriguing insights into some of the Latin inscriptions now in the collection of UCD, formerly of Shan</w:t>
      </w:r>
      <w:r w:rsidR="00527162">
        <w:t>g</w:t>
      </w:r>
      <w:r w:rsidR="007C5D8E">
        <w:t>a</w:t>
      </w:r>
      <w:r w:rsidR="00527162">
        <w:t>n</w:t>
      </w:r>
      <w:r w:rsidR="007C5D8E">
        <w:t>a</w:t>
      </w:r>
      <w:r w:rsidR="00527162">
        <w:t>g</w:t>
      </w:r>
      <w:r w:rsidR="007C5D8E">
        <w:t xml:space="preserve">h </w:t>
      </w:r>
      <w:r w:rsidR="00527162">
        <w:t xml:space="preserve">Castle. </w:t>
      </w:r>
      <w:r w:rsidR="00875DB0">
        <w:t xml:space="preserve">Ways of identifying some as original ancient inscriptions and others as modern fabrications were considered, along with </w:t>
      </w:r>
      <w:r w:rsidR="006355E4">
        <w:t xml:space="preserve">reflections upon the depiction of inscriptions in the works of Piranesi. </w:t>
      </w:r>
    </w:p>
    <w:p w14:paraId="5D5D2B22" w14:textId="3F7E0197" w:rsidR="006355E4" w:rsidRPr="006355E4" w:rsidRDefault="006355E4">
      <w:r w:rsidRPr="006355E4">
        <w:rPr>
          <w:b/>
          <w:bCs/>
        </w:rPr>
        <w:lastRenderedPageBreak/>
        <w:t xml:space="preserve">Two posters </w:t>
      </w:r>
      <w:r w:rsidRPr="006355E4">
        <w:t xml:space="preserve">were presented by </w:t>
      </w:r>
      <w:r w:rsidRPr="006355E4">
        <w:rPr>
          <w:b/>
          <w:bCs/>
        </w:rPr>
        <w:t>Silvia Orlandi</w:t>
      </w:r>
      <w:r w:rsidRPr="006355E4">
        <w:t xml:space="preserve"> and </w:t>
      </w:r>
      <w:r w:rsidRPr="006355E4">
        <w:rPr>
          <w:b/>
          <w:bCs/>
        </w:rPr>
        <w:t>Maria Letizia Caldelli</w:t>
      </w:r>
      <w:r w:rsidRPr="006355E4">
        <w:t xml:space="preserve"> </w:t>
      </w:r>
      <w:r w:rsidRPr="006355E4">
        <w:rPr>
          <w:b/>
          <w:bCs/>
        </w:rPr>
        <w:t>(La Sapienza, Rome)</w:t>
      </w:r>
      <w:r w:rsidRPr="006355E4">
        <w:t>, dealing with the epigraphic collection o</w:t>
      </w:r>
      <w:r>
        <w:t xml:space="preserve">f Rossie Priory </w:t>
      </w:r>
      <w:r w:rsidR="000C47C4">
        <w:t xml:space="preserve">(Perthshire) and that belonging to John Kemp. </w:t>
      </w:r>
    </w:p>
    <w:p w14:paraId="57C089E8" w14:textId="1A0EB54B" w:rsidR="00676638" w:rsidRPr="006355E4" w:rsidRDefault="00AF665D">
      <w:pPr>
        <w:rPr>
          <w:b/>
          <w:bCs/>
        </w:rPr>
      </w:pPr>
      <w:r w:rsidRPr="006355E4">
        <w:t xml:space="preserve"> </w:t>
      </w:r>
    </w:p>
    <w:sectPr w:rsidR="00676638" w:rsidRPr="006355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62E5"/>
    <w:rsid w:val="0000578D"/>
    <w:rsid w:val="000639AD"/>
    <w:rsid w:val="00072C2E"/>
    <w:rsid w:val="00084898"/>
    <w:rsid w:val="000C47C4"/>
    <w:rsid w:val="000D69BB"/>
    <w:rsid w:val="000F17ED"/>
    <w:rsid w:val="001070BE"/>
    <w:rsid w:val="001075E2"/>
    <w:rsid w:val="00122687"/>
    <w:rsid w:val="0012323C"/>
    <w:rsid w:val="0013102C"/>
    <w:rsid w:val="0016792B"/>
    <w:rsid w:val="001C7C5C"/>
    <w:rsid w:val="002179B6"/>
    <w:rsid w:val="00253EA5"/>
    <w:rsid w:val="0025493F"/>
    <w:rsid w:val="002A57AA"/>
    <w:rsid w:val="002E6C0A"/>
    <w:rsid w:val="00307B7B"/>
    <w:rsid w:val="00313095"/>
    <w:rsid w:val="003B1E7E"/>
    <w:rsid w:val="003D5C53"/>
    <w:rsid w:val="003E58C2"/>
    <w:rsid w:val="00404A99"/>
    <w:rsid w:val="004069D1"/>
    <w:rsid w:val="00425306"/>
    <w:rsid w:val="004312B2"/>
    <w:rsid w:val="00467918"/>
    <w:rsid w:val="004E7F75"/>
    <w:rsid w:val="004F0CBE"/>
    <w:rsid w:val="00501441"/>
    <w:rsid w:val="00527162"/>
    <w:rsid w:val="00566DBE"/>
    <w:rsid w:val="00584922"/>
    <w:rsid w:val="00591593"/>
    <w:rsid w:val="005A29AF"/>
    <w:rsid w:val="00612F77"/>
    <w:rsid w:val="0061775D"/>
    <w:rsid w:val="0062309F"/>
    <w:rsid w:val="006276BC"/>
    <w:rsid w:val="0063500B"/>
    <w:rsid w:val="006355E4"/>
    <w:rsid w:val="00636968"/>
    <w:rsid w:val="006411EB"/>
    <w:rsid w:val="00663B60"/>
    <w:rsid w:val="00676638"/>
    <w:rsid w:val="00697929"/>
    <w:rsid w:val="006B266D"/>
    <w:rsid w:val="006C40B3"/>
    <w:rsid w:val="006D765E"/>
    <w:rsid w:val="00700587"/>
    <w:rsid w:val="007551AD"/>
    <w:rsid w:val="00767DC3"/>
    <w:rsid w:val="0077488C"/>
    <w:rsid w:val="00786E0C"/>
    <w:rsid w:val="007905A6"/>
    <w:rsid w:val="007A0613"/>
    <w:rsid w:val="007C16C1"/>
    <w:rsid w:val="007C5D8E"/>
    <w:rsid w:val="007E0A26"/>
    <w:rsid w:val="00821AD2"/>
    <w:rsid w:val="00875DB0"/>
    <w:rsid w:val="00886A1D"/>
    <w:rsid w:val="008E118B"/>
    <w:rsid w:val="00933F1E"/>
    <w:rsid w:val="00955B28"/>
    <w:rsid w:val="009A0A61"/>
    <w:rsid w:val="009D0E69"/>
    <w:rsid w:val="00AD7A4B"/>
    <w:rsid w:val="00AF665D"/>
    <w:rsid w:val="00B25B5E"/>
    <w:rsid w:val="00B3705B"/>
    <w:rsid w:val="00B40342"/>
    <w:rsid w:val="00B44A3C"/>
    <w:rsid w:val="00BA422E"/>
    <w:rsid w:val="00BB4F6C"/>
    <w:rsid w:val="00BE3029"/>
    <w:rsid w:val="00C1273A"/>
    <w:rsid w:val="00C25971"/>
    <w:rsid w:val="00C566BC"/>
    <w:rsid w:val="00C6254B"/>
    <w:rsid w:val="00C7033B"/>
    <w:rsid w:val="00C85B37"/>
    <w:rsid w:val="00CE2EE4"/>
    <w:rsid w:val="00CF62E5"/>
    <w:rsid w:val="00D86717"/>
    <w:rsid w:val="00E63E39"/>
    <w:rsid w:val="00E7397B"/>
    <w:rsid w:val="00E84E6B"/>
    <w:rsid w:val="00E9512B"/>
    <w:rsid w:val="00EA5738"/>
    <w:rsid w:val="00ED0959"/>
    <w:rsid w:val="00EE03C8"/>
    <w:rsid w:val="00F22DFC"/>
    <w:rsid w:val="00F30E0E"/>
    <w:rsid w:val="00F45A54"/>
    <w:rsid w:val="00F83617"/>
    <w:rsid w:val="00FC1BA9"/>
    <w:rsid w:val="00FD38FE"/>
    <w:rsid w:val="00FF3A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694BD"/>
  <w15:chartTrackingRefBased/>
  <w15:docId w15:val="{3BFAC24B-4842-43EA-8C11-B56586017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62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62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62E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62E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62E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62E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62E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62E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62E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62E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62E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62E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62E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62E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62E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62E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62E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62E5"/>
    <w:rPr>
      <w:rFonts w:eastAsiaTheme="majorEastAsia" w:cstheme="majorBidi"/>
      <w:color w:val="272727" w:themeColor="text1" w:themeTint="D8"/>
    </w:rPr>
  </w:style>
  <w:style w:type="paragraph" w:styleId="Title">
    <w:name w:val="Title"/>
    <w:basedOn w:val="Normal"/>
    <w:next w:val="Normal"/>
    <w:link w:val="TitleChar"/>
    <w:uiPriority w:val="10"/>
    <w:qFormat/>
    <w:rsid w:val="00CF62E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62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62E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62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62E5"/>
    <w:pPr>
      <w:spacing w:before="160"/>
      <w:jc w:val="center"/>
    </w:pPr>
    <w:rPr>
      <w:i/>
      <w:iCs/>
      <w:color w:val="404040" w:themeColor="text1" w:themeTint="BF"/>
    </w:rPr>
  </w:style>
  <w:style w:type="character" w:customStyle="1" w:styleId="QuoteChar">
    <w:name w:val="Quote Char"/>
    <w:basedOn w:val="DefaultParagraphFont"/>
    <w:link w:val="Quote"/>
    <w:uiPriority w:val="29"/>
    <w:rsid w:val="00CF62E5"/>
    <w:rPr>
      <w:i/>
      <w:iCs/>
      <w:color w:val="404040" w:themeColor="text1" w:themeTint="BF"/>
    </w:rPr>
  </w:style>
  <w:style w:type="paragraph" w:styleId="ListParagraph">
    <w:name w:val="List Paragraph"/>
    <w:basedOn w:val="Normal"/>
    <w:uiPriority w:val="34"/>
    <w:qFormat/>
    <w:rsid w:val="00CF62E5"/>
    <w:pPr>
      <w:ind w:left="720"/>
      <w:contextualSpacing/>
    </w:pPr>
  </w:style>
  <w:style w:type="character" w:styleId="IntenseEmphasis">
    <w:name w:val="Intense Emphasis"/>
    <w:basedOn w:val="DefaultParagraphFont"/>
    <w:uiPriority w:val="21"/>
    <w:qFormat/>
    <w:rsid w:val="00CF62E5"/>
    <w:rPr>
      <w:i/>
      <w:iCs/>
      <w:color w:val="0F4761" w:themeColor="accent1" w:themeShade="BF"/>
    </w:rPr>
  </w:style>
  <w:style w:type="paragraph" w:styleId="IntenseQuote">
    <w:name w:val="Intense Quote"/>
    <w:basedOn w:val="Normal"/>
    <w:next w:val="Normal"/>
    <w:link w:val="IntenseQuoteChar"/>
    <w:uiPriority w:val="30"/>
    <w:qFormat/>
    <w:rsid w:val="00CF62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62E5"/>
    <w:rPr>
      <w:i/>
      <w:iCs/>
      <w:color w:val="0F4761" w:themeColor="accent1" w:themeShade="BF"/>
    </w:rPr>
  </w:style>
  <w:style w:type="character" w:styleId="IntenseReference">
    <w:name w:val="Intense Reference"/>
    <w:basedOn w:val="DefaultParagraphFont"/>
    <w:uiPriority w:val="32"/>
    <w:qFormat/>
    <w:rsid w:val="00CF62E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1084</Words>
  <Characters>6179</Characters>
  <Application>Microsoft Office Word</Application>
  <DocSecurity>0</DocSecurity>
  <Lines>51</Lines>
  <Paragraphs>14</Paragraphs>
  <ScaleCrop>false</ScaleCrop>
  <Company/>
  <LinksUpToDate>false</LinksUpToDate>
  <CharactersWithSpaces>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Cooley</dc:creator>
  <cp:keywords/>
  <dc:description/>
  <cp:lastModifiedBy>Rae, Sue</cp:lastModifiedBy>
  <cp:revision>2</cp:revision>
  <dcterms:created xsi:type="dcterms:W3CDTF">2024-05-17T09:49:00Z</dcterms:created>
  <dcterms:modified xsi:type="dcterms:W3CDTF">2024-05-17T09:49:00Z</dcterms:modified>
</cp:coreProperties>
</file>