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7A74B3C" w14:textId="77777777" w:rsidR="00A65091" w:rsidRDefault="00CB35AC">
      <w:pPr>
        <w:rPr>
          <w:b/>
        </w:rPr>
      </w:pPr>
      <w:r>
        <w:rPr>
          <w:b/>
        </w:rPr>
        <w:t>Kafka and the Human Animal</w:t>
      </w:r>
    </w:p>
    <w:p w14:paraId="47FE265F" w14:textId="77777777" w:rsidR="00CB35AC" w:rsidRDefault="00CB35AC">
      <w:pPr>
        <w:rPr>
          <w:b/>
        </w:rPr>
      </w:pPr>
      <w:r>
        <w:rPr>
          <w:b/>
        </w:rPr>
        <w:t>HRC/CRPLA Colloquium</w:t>
      </w:r>
    </w:p>
    <w:p w14:paraId="7C12E1BA" w14:textId="77777777" w:rsidR="00CB35AC" w:rsidRDefault="00CB35AC">
      <w:pPr>
        <w:rPr>
          <w:b/>
        </w:rPr>
      </w:pPr>
      <w:r>
        <w:rPr>
          <w:b/>
        </w:rPr>
        <w:t>21 October 2015</w:t>
      </w:r>
    </w:p>
    <w:p w14:paraId="7B6A86E4" w14:textId="77777777" w:rsidR="008C5CAF" w:rsidRDefault="0043342A">
      <w:r>
        <w:t>To mark</w:t>
      </w:r>
      <w:r w:rsidR="002F2FA7" w:rsidRPr="005F52F2">
        <w:t xml:space="preserve"> </w:t>
      </w:r>
      <w:r w:rsidR="00CB35AC" w:rsidRPr="005F52F2">
        <w:t>the 100</w:t>
      </w:r>
      <w:r w:rsidR="00CB35AC" w:rsidRPr="005F52F2">
        <w:rPr>
          <w:vertAlign w:val="superscript"/>
        </w:rPr>
        <w:t>th</w:t>
      </w:r>
      <w:r w:rsidR="00CB35AC" w:rsidRPr="005F52F2">
        <w:t xml:space="preserve"> anniversary of publication of Franz Kafka’s ‘The Metamorphosis’, we gathere</w:t>
      </w:r>
      <w:r w:rsidR="002F2FA7" w:rsidRPr="005F52F2">
        <w:t xml:space="preserve">d for an afternoon of talks about the intriguing animals—non-human and human—that </w:t>
      </w:r>
      <w:r w:rsidR="00EC2099">
        <w:t>we meet in</w:t>
      </w:r>
      <w:r w:rsidR="002F2FA7" w:rsidRPr="005F52F2">
        <w:t xml:space="preserve"> Kafka’</w:t>
      </w:r>
      <w:r w:rsidR="005F52F2">
        <w:t>s w</w:t>
      </w:r>
      <w:r>
        <w:t>orks. Four speake</w:t>
      </w:r>
      <w:r w:rsidR="005F52F2">
        <w:t xml:space="preserve">rs, </w:t>
      </w:r>
      <w:r w:rsidR="005F52F2" w:rsidRPr="007A3625">
        <w:rPr>
          <w:b/>
        </w:rPr>
        <w:t>Elizabeth Boa</w:t>
      </w:r>
      <w:r w:rsidR="005F52F2">
        <w:t xml:space="preserve"> (</w:t>
      </w:r>
      <w:r>
        <w:t xml:space="preserve">German Studies, </w:t>
      </w:r>
      <w:r w:rsidR="005F52F2">
        <w:t xml:space="preserve">Nottingham </w:t>
      </w:r>
      <w:r w:rsidR="005F52F2" w:rsidRPr="00764B0F">
        <w:rPr>
          <w:i/>
        </w:rPr>
        <w:t>emerit</w:t>
      </w:r>
      <w:r w:rsidR="00543658" w:rsidRPr="00764B0F">
        <w:rPr>
          <w:i/>
        </w:rPr>
        <w:t>a</w:t>
      </w:r>
      <w:r w:rsidR="00543658">
        <w:rPr>
          <w:i/>
        </w:rPr>
        <w:t>)</w:t>
      </w:r>
      <w:r>
        <w:t xml:space="preserve">, </w:t>
      </w:r>
      <w:r w:rsidR="005F52F2" w:rsidRPr="007A3625">
        <w:rPr>
          <w:b/>
        </w:rPr>
        <w:t>Carolin Duttlinger</w:t>
      </w:r>
      <w:r w:rsidR="005F52F2">
        <w:t xml:space="preserve"> (</w:t>
      </w:r>
      <w:r>
        <w:t xml:space="preserve">German/Kafka Research Centre, </w:t>
      </w:r>
      <w:r w:rsidR="005F52F2">
        <w:t xml:space="preserve">Oxford), </w:t>
      </w:r>
      <w:r w:rsidR="005F52F2" w:rsidRPr="007A3625">
        <w:rPr>
          <w:b/>
        </w:rPr>
        <w:t>Anne Fuchs</w:t>
      </w:r>
      <w:r>
        <w:t xml:space="preserve"> (German Studies, Warwick) and </w:t>
      </w:r>
      <w:r w:rsidRPr="007A3625">
        <w:rPr>
          <w:b/>
        </w:rPr>
        <w:t>Nick Lawrence</w:t>
      </w:r>
      <w:r>
        <w:t xml:space="preserve"> (English and Comparative Literary Studies, Warwick), gave tremendously engaging presentations on well- an</w:t>
      </w:r>
      <w:r w:rsidR="007A3625">
        <w:t xml:space="preserve">d little-known Kafka creations, including </w:t>
      </w:r>
      <w:r>
        <w:t>Josephine of the Mouse People, a kitten-lamb,</w:t>
      </w:r>
      <w:r w:rsidR="007A3625">
        <w:t xml:space="preserve"> the ape</w:t>
      </w:r>
      <w:r>
        <w:t xml:space="preserve"> Red Peter</w:t>
      </w:r>
      <w:r w:rsidR="007A3625">
        <w:t>, and a stork-like bird.</w:t>
      </w:r>
    </w:p>
    <w:p w14:paraId="40C5CF71" w14:textId="3342D60B" w:rsidR="00CB35AC" w:rsidRDefault="00EC2099">
      <w:r>
        <w:t>Each talk gave us different contexts and concerns to bring to our reading and appre</w:t>
      </w:r>
      <w:r w:rsidR="002C171B">
        <w:t>ciation of Kafka. Boa spent</w:t>
      </w:r>
      <w:r>
        <w:t xml:space="preserve"> ti</w:t>
      </w:r>
      <w:r w:rsidR="002C171B">
        <w:t>me with the hybrid kitten-lamb in ‘A Crossbreed’, with</w:t>
      </w:r>
      <w:r>
        <w:t xml:space="preserve"> its </w:t>
      </w:r>
      <w:r w:rsidR="001C2B97">
        <w:t xml:space="preserve">tears and </w:t>
      </w:r>
      <w:r>
        <w:t>‘look of human understanding’</w:t>
      </w:r>
      <w:r w:rsidR="00C2285E">
        <w:t xml:space="preserve">, </w:t>
      </w:r>
      <w:r w:rsidR="00C2285E" w:rsidRPr="00764B0F">
        <w:t>and presen</w:t>
      </w:r>
      <w:r w:rsidR="00231792" w:rsidRPr="00764B0F">
        <w:t xml:space="preserve">ted Kafka as </w:t>
      </w:r>
      <w:r w:rsidR="00543658" w:rsidRPr="00764B0F">
        <w:t xml:space="preserve">querying humanness defined in opposition to </w:t>
      </w:r>
      <w:proofErr w:type="spellStart"/>
      <w:r w:rsidR="00543658" w:rsidRPr="00764B0F">
        <w:t>animality</w:t>
      </w:r>
      <w:proofErr w:type="spellEnd"/>
      <w:r w:rsidR="00543658" w:rsidRPr="00764B0F">
        <w:t xml:space="preserve">. His </w:t>
      </w:r>
      <w:r w:rsidR="004772AD" w:rsidRPr="00764B0F">
        <w:t xml:space="preserve">animal </w:t>
      </w:r>
      <w:r w:rsidR="00543658" w:rsidRPr="00764B0F">
        <w:t>stories, in keeping with Darwin, suggest human-a</w:t>
      </w:r>
      <w:r w:rsidR="004772AD" w:rsidRPr="00764B0F">
        <w:t>nimal continuity; the</w:t>
      </w:r>
      <w:r w:rsidR="00543658" w:rsidRPr="00764B0F">
        <w:t xml:space="preserve"> humani</w:t>
      </w:r>
      <w:r w:rsidR="004772AD" w:rsidRPr="00764B0F">
        <w:t>z</w:t>
      </w:r>
      <w:r w:rsidR="00140558">
        <w:t>ed animals</w:t>
      </w:r>
      <w:r w:rsidR="004772AD" w:rsidRPr="00764B0F">
        <w:t xml:space="preserve"> and animalized humans </w:t>
      </w:r>
      <w:r w:rsidR="008D6FD9" w:rsidRPr="00764B0F">
        <w:t xml:space="preserve">point </w:t>
      </w:r>
      <w:r w:rsidR="00543658" w:rsidRPr="00764B0F">
        <w:t xml:space="preserve">towards </w:t>
      </w:r>
      <w:r w:rsidR="008D6FD9" w:rsidRPr="00764B0F">
        <w:t xml:space="preserve">further </w:t>
      </w:r>
      <w:r w:rsidR="00543658" w:rsidRPr="00764B0F">
        <w:t>hybrid identities, whether ethnic, linguistic, generational or zoological.</w:t>
      </w:r>
      <w:r w:rsidR="00543658">
        <w:t xml:space="preserve"> </w:t>
      </w:r>
      <w:r w:rsidR="002759D8">
        <w:t xml:space="preserve">Anne Fuchs </w:t>
      </w:r>
      <w:r w:rsidR="00B61A97">
        <w:t>let</w:t>
      </w:r>
      <w:r w:rsidR="002759D8">
        <w:t xml:space="preserve"> </w:t>
      </w:r>
      <w:r w:rsidR="00231792">
        <w:t>Kafka’s whistling mouse Josephine</w:t>
      </w:r>
      <w:r w:rsidR="002759D8">
        <w:t xml:space="preserve"> </w:t>
      </w:r>
      <w:r w:rsidR="00B61A97">
        <w:t>resonate, as a feminine voice</w:t>
      </w:r>
      <w:r w:rsidR="00DD263E">
        <w:t xml:space="preserve"> triggering</w:t>
      </w:r>
      <w:r w:rsidR="00FB29B3">
        <w:t xml:space="preserve"> ambivalent attention and efforts at control, wi</w:t>
      </w:r>
      <w:r w:rsidR="009F265B">
        <w:t xml:space="preserve">th </w:t>
      </w:r>
      <w:r w:rsidR="00FB29B3">
        <w:t xml:space="preserve">both </w:t>
      </w:r>
      <w:r w:rsidR="009F265B">
        <w:t xml:space="preserve">the ancient Sirens resisted by Odysseus and </w:t>
      </w:r>
      <w:r w:rsidR="00FB29B3">
        <w:t xml:space="preserve">with modern loss of enthrallment and </w:t>
      </w:r>
      <w:r w:rsidR="00DD263E">
        <w:t>the alienation emerging from</w:t>
      </w:r>
      <w:r w:rsidR="00FB29B3">
        <w:t xml:space="preserve"> </w:t>
      </w:r>
      <w:r w:rsidR="00DD263E">
        <w:t xml:space="preserve">projects of domination and </w:t>
      </w:r>
      <w:r w:rsidR="00FB29B3">
        <w:t xml:space="preserve">total knowledge. </w:t>
      </w:r>
      <w:r w:rsidR="00DD263E">
        <w:t>Carolin Duttlinger highlighted Kafka’s interest in the reality and the dream of flight, focusing</w:t>
      </w:r>
      <w:r w:rsidR="00D93FDF">
        <w:t xml:space="preserve"> on a strange and funny</w:t>
      </w:r>
      <w:r w:rsidR="00DD263E">
        <w:t xml:space="preserve"> fragmentary story in which a man contracts himself to nurture a large bird</w:t>
      </w:r>
      <w:r w:rsidR="00D93FDF">
        <w:t xml:space="preserve">—the man-bird collaboration conveys a spirit of experimentation and trust that is exhilarating. Nick Lawrence </w:t>
      </w:r>
      <w:r w:rsidR="008C5CAF">
        <w:t>connected Kafka to a rich 19</w:t>
      </w:r>
      <w:r w:rsidR="008C5CAF" w:rsidRPr="008C5CAF">
        <w:rPr>
          <w:vertAlign w:val="superscript"/>
        </w:rPr>
        <w:t>th</w:t>
      </w:r>
      <w:r w:rsidR="008C5CAF">
        <w:t xml:space="preserve"> century context—Poe, Frederick Douglass and slave narratives, and Marx on species-being—and </w:t>
      </w:r>
      <w:r w:rsidR="00D93FDF">
        <w:t>made a compelling case for Kafka</w:t>
      </w:r>
      <w:r w:rsidR="008C5CAF">
        <w:t xml:space="preserve"> </w:t>
      </w:r>
      <w:r w:rsidR="00D93FDF">
        <w:t xml:space="preserve">’s </w:t>
      </w:r>
      <w:r w:rsidR="008C5CAF">
        <w:t>attention to policing</w:t>
      </w:r>
      <w:r w:rsidR="00D93FDF">
        <w:t xml:space="preserve"> the human/animal divide as </w:t>
      </w:r>
      <w:r w:rsidR="008C5CAF">
        <w:t xml:space="preserve">deeply engaged in a critique of racism in </w:t>
      </w:r>
      <w:r w:rsidR="000462D8">
        <w:t xml:space="preserve">our </w:t>
      </w:r>
      <w:r w:rsidR="008C5CAF">
        <w:t>accounts of human nature and ‘where we come from’.</w:t>
      </w:r>
    </w:p>
    <w:p w14:paraId="24350503" w14:textId="77777777" w:rsidR="00722AF5" w:rsidRDefault="008C5CAF">
      <w:r>
        <w:t xml:space="preserve">We concluded the colloquium with roundtable discussion and comments from the audience, which included undergraduates, postgraduates and faculty from around </w:t>
      </w:r>
      <w:r w:rsidR="00576695">
        <w:t xml:space="preserve">and beyond </w:t>
      </w:r>
      <w:r>
        <w:t>the university. Based on the ideas and conversation we sha</w:t>
      </w:r>
      <w:r w:rsidR="0026618A">
        <w:t xml:space="preserve">red, we </w:t>
      </w:r>
      <w:r w:rsidR="000462D8">
        <w:t>have a great deal</w:t>
      </w:r>
      <w:r w:rsidR="0026618A">
        <w:t xml:space="preserve"> to learn about ourselves from Kafka’s animals. We are very grateful </w:t>
      </w:r>
      <w:r w:rsidR="000462D8">
        <w:t>to the HRC</w:t>
      </w:r>
      <w:r w:rsidR="0026618A">
        <w:t xml:space="preserve"> for sponsoring this event</w:t>
      </w:r>
      <w:r w:rsidR="000462D8">
        <w:t xml:space="preserve"> and to colleagues in German Studies for providing intellectual and practical support</w:t>
      </w:r>
      <w:r w:rsidR="0026618A">
        <w:t>.</w:t>
      </w:r>
      <w:r w:rsidR="000462D8">
        <w:t xml:space="preserve"> </w:t>
      </w:r>
    </w:p>
    <w:p w14:paraId="349C50C6" w14:textId="3C2EF7CE" w:rsidR="00722AF5" w:rsidRDefault="00722AF5">
      <w:r>
        <w:rPr>
          <w:noProof/>
        </w:rPr>
        <w:drawing>
          <wp:anchor distT="0" distB="0" distL="114300" distR="114300" simplePos="0" relativeHeight="251660288" behindDoc="0" locked="0" layoutInCell="1" allowOverlap="1" wp14:anchorId="364E035D" wp14:editId="0977797F">
            <wp:simplePos x="0" y="0"/>
            <wp:positionH relativeFrom="column">
              <wp:posOffset>42442</wp:posOffset>
            </wp:positionH>
            <wp:positionV relativeFrom="paragraph">
              <wp:posOffset>10972</wp:posOffset>
            </wp:positionV>
            <wp:extent cx="1767840" cy="2087785"/>
            <wp:effectExtent l="0" t="0" r="3810" b="8255"/>
            <wp:wrapThrough wrapText="bothSides">
              <wp:wrapPolygon edited="0">
                <wp:start x="0" y="0"/>
                <wp:lineTo x="0" y="21488"/>
                <wp:lineTo x="21414" y="21488"/>
                <wp:lineTo x="21414" y="0"/>
                <wp:lineTo x="0" y="0"/>
              </wp:wrapPolygon>
            </wp:wrapThrough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row Paula Rego.jp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67840" cy="20877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BD38894" w14:textId="0681C9FF" w:rsidR="00722AF5" w:rsidRDefault="00722AF5"/>
    <w:p w14:paraId="7B26D382" w14:textId="0C4EE9F2" w:rsidR="00722AF5" w:rsidRDefault="0002157D">
      <w:r>
        <w:t xml:space="preserve">Paula </w:t>
      </w:r>
      <w:proofErr w:type="spellStart"/>
      <w:r>
        <w:t>Rego</w:t>
      </w:r>
      <w:proofErr w:type="spellEnd"/>
      <w:r>
        <w:t xml:space="preserve">, </w:t>
      </w:r>
      <w:r w:rsidRPr="0002157D">
        <w:rPr>
          <w:b/>
        </w:rPr>
        <w:t>Crow</w:t>
      </w:r>
      <w:r>
        <w:t xml:space="preserve"> (1994),</w:t>
      </w:r>
    </w:p>
    <w:p w14:paraId="342CCA06" w14:textId="0255F9D2" w:rsidR="00FB6356" w:rsidRPr="005F52F2" w:rsidRDefault="0002157D">
      <w:r>
        <w:t xml:space="preserve"> University of Warwick Art Collection</w:t>
      </w:r>
      <w:bookmarkStart w:id="0" w:name="_GoBack"/>
      <w:bookmarkEnd w:id="0"/>
    </w:p>
    <w:sectPr w:rsidR="00FB6356" w:rsidRPr="005F52F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35AC"/>
    <w:rsid w:val="0002157D"/>
    <w:rsid w:val="0004456F"/>
    <w:rsid w:val="000462D8"/>
    <w:rsid w:val="00140558"/>
    <w:rsid w:val="00165FDF"/>
    <w:rsid w:val="001C2B97"/>
    <w:rsid w:val="00231792"/>
    <w:rsid w:val="0026618A"/>
    <w:rsid w:val="002759D8"/>
    <w:rsid w:val="002901F3"/>
    <w:rsid w:val="002C171B"/>
    <w:rsid w:val="002F2FA7"/>
    <w:rsid w:val="0043342A"/>
    <w:rsid w:val="004772AD"/>
    <w:rsid w:val="00543658"/>
    <w:rsid w:val="00576695"/>
    <w:rsid w:val="005F52F2"/>
    <w:rsid w:val="00692A78"/>
    <w:rsid w:val="00722AF5"/>
    <w:rsid w:val="00764B0F"/>
    <w:rsid w:val="0077169E"/>
    <w:rsid w:val="007A3625"/>
    <w:rsid w:val="008C5CAF"/>
    <w:rsid w:val="008D6FD9"/>
    <w:rsid w:val="009F265B"/>
    <w:rsid w:val="00A36FEE"/>
    <w:rsid w:val="00A65091"/>
    <w:rsid w:val="00B61A97"/>
    <w:rsid w:val="00C1392C"/>
    <w:rsid w:val="00C2285E"/>
    <w:rsid w:val="00CB35AC"/>
    <w:rsid w:val="00D93FDF"/>
    <w:rsid w:val="00DA40D2"/>
    <w:rsid w:val="00DD263E"/>
    <w:rsid w:val="00EC2099"/>
    <w:rsid w:val="00FA08EE"/>
    <w:rsid w:val="00FB29B3"/>
    <w:rsid w:val="00FB6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41316F1"/>
  <w15:docId w15:val="{59F37A41-839C-4737-AAC8-6645B92CB1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215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157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E1CA5E80</Template>
  <TotalTime>1</TotalTime>
  <Pages>1</Pages>
  <Words>389</Words>
  <Characters>2218</Characters>
  <Application>Microsoft Office Word</Application>
  <DocSecurity>4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2602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Eileen John</dc:creator>
  <cp:lastModifiedBy>Dibben, Sue</cp:lastModifiedBy>
  <cp:revision>2</cp:revision>
  <dcterms:created xsi:type="dcterms:W3CDTF">2016-02-06T12:28:00Z</dcterms:created>
  <dcterms:modified xsi:type="dcterms:W3CDTF">2016-02-06T12:28:00Z</dcterms:modified>
</cp:coreProperties>
</file>