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C6AF4B" w14:textId="2C1A4079" w:rsidR="00FB1096" w:rsidRPr="009F61D1" w:rsidRDefault="00FB1096" w:rsidP="00842F50">
      <w:pPr>
        <w:ind w:firstLine="720"/>
        <w:jc w:val="both"/>
        <w:rPr>
          <w:rFonts w:ascii="Garamond" w:hAnsi="Garamond" w:cs="Times New Roman"/>
          <w:b/>
          <w:bCs/>
          <w:sz w:val="24"/>
          <w:szCs w:val="24"/>
        </w:rPr>
      </w:pPr>
      <w:bookmarkStart w:id="0" w:name="_GoBack"/>
      <w:bookmarkEnd w:id="0"/>
      <w:r w:rsidRPr="009F61D1">
        <w:rPr>
          <w:rFonts w:ascii="Garamond" w:hAnsi="Garamond" w:cs="Times New Roman"/>
          <w:b/>
          <w:bCs/>
          <w:sz w:val="24"/>
          <w:szCs w:val="24"/>
        </w:rPr>
        <w:t>Literature and Event: Reformulations of the Literary in the 21</w:t>
      </w:r>
      <w:r w:rsidRPr="009F61D1">
        <w:rPr>
          <w:rFonts w:ascii="Garamond" w:hAnsi="Garamond" w:cs="Times New Roman"/>
          <w:b/>
          <w:bCs/>
          <w:sz w:val="24"/>
          <w:szCs w:val="24"/>
          <w:vertAlign w:val="superscript"/>
        </w:rPr>
        <w:t>st</w:t>
      </w:r>
      <w:r w:rsidRPr="009F61D1">
        <w:rPr>
          <w:rFonts w:ascii="Garamond" w:hAnsi="Garamond" w:cs="Times New Roman"/>
          <w:b/>
          <w:bCs/>
          <w:sz w:val="24"/>
          <w:szCs w:val="24"/>
        </w:rPr>
        <w:t xml:space="preserve"> Century</w:t>
      </w:r>
    </w:p>
    <w:p w14:paraId="0FC420D9" w14:textId="77777777" w:rsidR="00FB1096" w:rsidRPr="009F61D1" w:rsidRDefault="00FB1096" w:rsidP="00842F50">
      <w:pPr>
        <w:ind w:firstLine="720"/>
        <w:jc w:val="both"/>
        <w:rPr>
          <w:rFonts w:ascii="Garamond" w:hAnsi="Garamond" w:cs="Times New Roman"/>
          <w:b/>
          <w:bCs/>
          <w:sz w:val="24"/>
          <w:szCs w:val="24"/>
        </w:rPr>
      </w:pPr>
    </w:p>
    <w:p w14:paraId="757B29E8" w14:textId="2D362DD4" w:rsidR="007C098E" w:rsidRPr="009F61D1" w:rsidRDefault="007C098E" w:rsidP="00842F50">
      <w:pPr>
        <w:jc w:val="both"/>
        <w:rPr>
          <w:rFonts w:ascii="Garamond" w:hAnsi="Garamond" w:cs="Calibri"/>
        </w:rPr>
      </w:pPr>
      <w:r w:rsidRPr="009F61D1">
        <w:rPr>
          <w:rFonts w:ascii="Garamond" w:hAnsi="Garamond" w:cs="Calibri"/>
        </w:rPr>
        <w:t>On the 15</w:t>
      </w:r>
      <w:r w:rsidRPr="009F61D1">
        <w:rPr>
          <w:rFonts w:ascii="Garamond" w:hAnsi="Garamond" w:cs="Calibri"/>
          <w:vertAlign w:val="superscript"/>
        </w:rPr>
        <w:t>th</w:t>
      </w:r>
      <w:r w:rsidRPr="009F61D1">
        <w:rPr>
          <w:rFonts w:ascii="Garamond" w:hAnsi="Garamond" w:cs="Calibri"/>
        </w:rPr>
        <w:t xml:space="preserve"> February 2020, the Humanities Research Centre (HRC) at the University of Warwick hosted a one-day interdisciplinary conference, titled ‘Literature and Event: Reformulations of the Literary in the 21</w:t>
      </w:r>
      <w:r w:rsidRPr="009F61D1">
        <w:rPr>
          <w:rFonts w:ascii="Garamond" w:hAnsi="Garamond" w:cs="Calibri"/>
          <w:vertAlign w:val="superscript"/>
        </w:rPr>
        <w:t>st</w:t>
      </w:r>
      <w:r w:rsidRPr="009F61D1">
        <w:rPr>
          <w:rFonts w:ascii="Garamond" w:hAnsi="Garamond" w:cs="Calibri"/>
        </w:rPr>
        <w:t xml:space="preserve"> Century’.</w:t>
      </w:r>
      <w:r w:rsidR="00842F50" w:rsidRPr="009F61D1">
        <w:rPr>
          <w:rFonts w:ascii="Garamond" w:hAnsi="Garamond" w:cs="Calibri"/>
        </w:rPr>
        <w:t xml:space="preserve"> This was a conference organised around the concept of event, one of the major concerns of contemporary critical theory, and the repercussions the concept has had in </w:t>
      </w:r>
      <w:r w:rsidR="00E0054A" w:rsidRPr="009F61D1">
        <w:rPr>
          <w:rFonts w:ascii="Garamond" w:hAnsi="Garamond" w:cs="Calibri"/>
        </w:rPr>
        <w:t>literary studies, history and political theory.</w:t>
      </w:r>
      <w:r w:rsidR="00842F50" w:rsidRPr="009F61D1">
        <w:rPr>
          <w:rFonts w:ascii="Garamond" w:hAnsi="Garamond" w:cs="Calibri"/>
        </w:rPr>
        <w:t xml:space="preserve"> </w:t>
      </w:r>
      <w:r w:rsidRPr="009F61D1">
        <w:rPr>
          <w:rFonts w:ascii="Garamond" w:hAnsi="Garamond" w:cs="Calibri"/>
        </w:rPr>
        <w:t>Th</w:t>
      </w:r>
      <w:r w:rsidR="00E0054A" w:rsidRPr="009F61D1">
        <w:rPr>
          <w:rFonts w:ascii="Garamond" w:hAnsi="Garamond" w:cs="Calibri"/>
        </w:rPr>
        <w:t>e conference</w:t>
      </w:r>
      <w:r w:rsidRPr="009F61D1">
        <w:rPr>
          <w:rFonts w:ascii="Garamond" w:hAnsi="Garamond" w:cs="Calibri"/>
        </w:rPr>
        <w:t xml:space="preserve"> received further generous support from the Centre for Research in Philosophy, Literature and the Arts (CRPLA) at Warwick and the</w:t>
      </w:r>
      <w:r w:rsidR="00842F50" w:rsidRPr="009F61D1">
        <w:rPr>
          <w:rFonts w:ascii="Garamond" w:hAnsi="Garamond" w:cs="Calibri"/>
        </w:rPr>
        <w:t xml:space="preserve"> Doctoral College, University of Warwick</w:t>
      </w:r>
      <w:r w:rsidRPr="009F61D1">
        <w:rPr>
          <w:rFonts w:ascii="Garamond" w:hAnsi="Garamond" w:cs="Calibri"/>
        </w:rPr>
        <w:t xml:space="preserve">. It brought together </w:t>
      </w:r>
      <w:r w:rsidR="00E0054A" w:rsidRPr="009F61D1">
        <w:rPr>
          <w:rFonts w:ascii="Garamond" w:hAnsi="Garamond" w:cs="Calibri"/>
        </w:rPr>
        <w:t xml:space="preserve">a total of 24 </w:t>
      </w:r>
      <w:r w:rsidRPr="009F61D1">
        <w:rPr>
          <w:rFonts w:ascii="Garamond" w:hAnsi="Garamond" w:cs="Calibri"/>
        </w:rPr>
        <w:t xml:space="preserve">speakers and </w:t>
      </w:r>
      <w:r w:rsidR="00E0054A" w:rsidRPr="009F61D1">
        <w:rPr>
          <w:rFonts w:ascii="Garamond" w:hAnsi="Garamond" w:cs="Calibri"/>
        </w:rPr>
        <w:t xml:space="preserve">around 35 </w:t>
      </w:r>
      <w:r w:rsidRPr="009F61D1">
        <w:rPr>
          <w:rFonts w:ascii="Garamond" w:hAnsi="Garamond" w:cs="Calibri"/>
        </w:rPr>
        <w:t xml:space="preserve">attendees who came from a variety of disciplinary (English </w:t>
      </w:r>
      <w:r w:rsidR="00E0054A" w:rsidRPr="009F61D1">
        <w:rPr>
          <w:rFonts w:ascii="Garamond" w:hAnsi="Garamond" w:cs="Calibri"/>
        </w:rPr>
        <w:t xml:space="preserve">and Comparative </w:t>
      </w:r>
      <w:r w:rsidRPr="009F61D1">
        <w:rPr>
          <w:rFonts w:ascii="Garamond" w:hAnsi="Garamond" w:cs="Calibri"/>
        </w:rPr>
        <w:t>literature</w:t>
      </w:r>
      <w:r w:rsidR="00E0054A" w:rsidRPr="009F61D1">
        <w:rPr>
          <w:rFonts w:ascii="Garamond" w:hAnsi="Garamond" w:cs="Calibri"/>
        </w:rPr>
        <w:t xml:space="preserve">, </w:t>
      </w:r>
      <w:r w:rsidRPr="009F61D1">
        <w:rPr>
          <w:rFonts w:ascii="Garamond" w:hAnsi="Garamond" w:cs="Calibri"/>
        </w:rPr>
        <w:t>Philosophy</w:t>
      </w:r>
      <w:r w:rsidR="00E0054A" w:rsidRPr="009F61D1">
        <w:rPr>
          <w:rFonts w:ascii="Garamond" w:hAnsi="Garamond" w:cs="Calibri"/>
        </w:rPr>
        <w:t>, Modern Languages, Sociology and Political Science</w:t>
      </w:r>
      <w:r w:rsidRPr="009F61D1">
        <w:rPr>
          <w:rFonts w:ascii="Garamond" w:hAnsi="Garamond" w:cs="Calibri"/>
        </w:rPr>
        <w:t>) and national</w:t>
      </w:r>
      <w:r w:rsidR="00E0054A" w:rsidRPr="009F61D1">
        <w:rPr>
          <w:rFonts w:ascii="Garamond" w:hAnsi="Garamond" w:cs="Calibri"/>
        </w:rPr>
        <w:t>ities</w:t>
      </w:r>
      <w:r w:rsidRPr="009F61D1">
        <w:rPr>
          <w:rFonts w:ascii="Garamond" w:hAnsi="Garamond" w:cs="Calibri"/>
        </w:rPr>
        <w:t xml:space="preserve"> (United Kingdom, </w:t>
      </w:r>
      <w:r w:rsidR="00E0054A" w:rsidRPr="009F61D1">
        <w:rPr>
          <w:rFonts w:ascii="Garamond" w:hAnsi="Garamond" w:cs="Calibri"/>
        </w:rPr>
        <w:t>France, Germany,</w:t>
      </w:r>
      <w:r w:rsidRPr="009F61D1">
        <w:rPr>
          <w:rFonts w:ascii="Garamond" w:hAnsi="Garamond" w:cs="Calibri"/>
        </w:rPr>
        <w:t xml:space="preserve"> USA, Poland</w:t>
      </w:r>
      <w:r w:rsidR="00E0054A" w:rsidRPr="009F61D1">
        <w:rPr>
          <w:rFonts w:ascii="Garamond" w:hAnsi="Garamond" w:cs="Calibri"/>
        </w:rPr>
        <w:t>, Norway and Romania</w:t>
      </w:r>
      <w:r w:rsidRPr="009F61D1">
        <w:rPr>
          <w:rFonts w:ascii="Garamond" w:hAnsi="Garamond" w:cs="Calibri"/>
        </w:rPr>
        <w:t>)</w:t>
      </w:r>
      <w:r w:rsidR="00E0054A" w:rsidRPr="009F61D1">
        <w:rPr>
          <w:rFonts w:ascii="Garamond" w:hAnsi="Garamond" w:cs="Calibri"/>
        </w:rPr>
        <w:t xml:space="preserve">. </w:t>
      </w:r>
      <w:r w:rsidR="00E27F0C" w:rsidRPr="009F61D1">
        <w:rPr>
          <w:rFonts w:ascii="Garamond" w:hAnsi="Garamond" w:cs="Calibri"/>
        </w:rPr>
        <w:t>T</w:t>
      </w:r>
      <w:r w:rsidR="00E0054A" w:rsidRPr="009F61D1">
        <w:rPr>
          <w:rFonts w:ascii="Garamond" w:hAnsi="Garamond" w:cs="Calibri"/>
        </w:rPr>
        <w:t xml:space="preserve">he conference </w:t>
      </w:r>
      <w:r w:rsidR="00E27F0C" w:rsidRPr="009F61D1">
        <w:rPr>
          <w:rFonts w:ascii="Garamond" w:hAnsi="Garamond" w:cs="Calibri"/>
        </w:rPr>
        <w:t>with its interdisciplinary setting</w:t>
      </w:r>
      <w:r w:rsidR="00F20614" w:rsidRPr="009F61D1">
        <w:rPr>
          <w:rFonts w:ascii="Garamond" w:hAnsi="Garamond" w:cs="Calibri"/>
        </w:rPr>
        <w:t>, and yet a specialist focus on continental philosophy, literary studies and critical theory,</w:t>
      </w:r>
      <w:r w:rsidR="00E27F0C" w:rsidRPr="009F61D1">
        <w:rPr>
          <w:rFonts w:ascii="Garamond" w:hAnsi="Garamond" w:cs="Calibri"/>
        </w:rPr>
        <w:t xml:space="preserve"> </w:t>
      </w:r>
      <w:r w:rsidR="00F20614" w:rsidRPr="009F61D1">
        <w:rPr>
          <w:rFonts w:ascii="Garamond" w:hAnsi="Garamond" w:cs="Calibri"/>
        </w:rPr>
        <w:t xml:space="preserve">was an attempt at discussing and, perhaps refining, some of the core ideas concerning event. </w:t>
      </w:r>
    </w:p>
    <w:p w14:paraId="42254BC5" w14:textId="77777777" w:rsidR="00E0054A" w:rsidRPr="009F61D1" w:rsidRDefault="00E0054A" w:rsidP="00842F50">
      <w:pPr>
        <w:jc w:val="both"/>
        <w:rPr>
          <w:rFonts w:ascii="Garamond" w:hAnsi="Garamond" w:cs="Calibri"/>
        </w:rPr>
      </w:pPr>
    </w:p>
    <w:p w14:paraId="4642D1EF" w14:textId="06DB6A3F" w:rsidR="000E7C61" w:rsidRDefault="006138CE" w:rsidP="0080618A">
      <w:pPr>
        <w:ind w:firstLine="720"/>
        <w:jc w:val="both"/>
        <w:rPr>
          <w:rFonts w:ascii="Garamond" w:hAnsi="Garamond" w:cs="Times New Roman"/>
          <w:sz w:val="24"/>
          <w:szCs w:val="24"/>
        </w:rPr>
      </w:pPr>
      <w:r w:rsidRPr="009F61D1">
        <w:rPr>
          <w:rFonts w:ascii="Garamond" w:hAnsi="Garamond" w:cs="Times New Roman"/>
          <w:sz w:val="24"/>
          <w:szCs w:val="24"/>
        </w:rPr>
        <w:t xml:space="preserve">The </w:t>
      </w:r>
      <w:r w:rsidR="00FB1096" w:rsidRPr="009F61D1">
        <w:rPr>
          <w:rFonts w:ascii="Garamond" w:hAnsi="Garamond" w:cs="Times New Roman"/>
          <w:sz w:val="24"/>
          <w:szCs w:val="24"/>
        </w:rPr>
        <w:t xml:space="preserve">first keynote </w:t>
      </w:r>
      <w:r w:rsidR="00E27F0C" w:rsidRPr="009F61D1">
        <w:rPr>
          <w:rFonts w:ascii="Garamond" w:hAnsi="Garamond" w:cs="Times New Roman"/>
          <w:sz w:val="24"/>
          <w:szCs w:val="24"/>
        </w:rPr>
        <w:t xml:space="preserve">address, </w:t>
      </w:r>
      <w:r w:rsidR="00F20614" w:rsidRPr="009F61D1">
        <w:rPr>
          <w:rFonts w:ascii="Garamond" w:hAnsi="Garamond" w:cs="Times New Roman"/>
          <w:sz w:val="24"/>
          <w:szCs w:val="24"/>
        </w:rPr>
        <w:t xml:space="preserve">titled </w:t>
      </w:r>
      <w:r w:rsidR="00F20614" w:rsidRPr="009F61D1">
        <w:rPr>
          <w:rFonts w:ascii="Garamond" w:hAnsi="Garamond" w:cs="Times New Roman"/>
          <w:i/>
          <w:iCs/>
          <w:sz w:val="24"/>
          <w:szCs w:val="24"/>
        </w:rPr>
        <w:t>Event, Experience, Literature</w:t>
      </w:r>
      <w:r w:rsidR="00AD38D7" w:rsidRPr="009F61D1">
        <w:rPr>
          <w:rFonts w:ascii="Garamond" w:hAnsi="Garamond" w:cs="Times New Roman"/>
          <w:sz w:val="24"/>
          <w:szCs w:val="24"/>
        </w:rPr>
        <w:t xml:space="preserve">, </w:t>
      </w:r>
      <w:r w:rsidR="00E27F0C" w:rsidRPr="009F61D1">
        <w:rPr>
          <w:rFonts w:ascii="Garamond" w:hAnsi="Garamond" w:cs="Times New Roman"/>
          <w:sz w:val="24"/>
          <w:szCs w:val="24"/>
        </w:rPr>
        <w:t>was delivered by Prof. Emeritus Derek Attridge (York)</w:t>
      </w:r>
      <w:r w:rsidR="00AD38D7" w:rsidRPr="009F61D1">
        <w:rPr>
          <w:rFonts w:ascii="Garamond" w:hAnsi="Garamond" w:cs="Times New Roman"/>
          <w:sz w:val="24"/>
          <w:szCs w:val="24"/>
        </w:rPr>
        <w:t>.</w:t>
      </w:r>
      <w:r w:rsidR="00F20614" w:rsidRPr="009F61D1">
        <w:rPr>
          <w:rFonts w:ascii="Garamond" w:hAnsi="Garamond" w:cs="Times New Roman"/>
          <w:sz w:val="24"/>
          <w:szCs w:val="24"/>
        </w:rPr>
        <w:t xml:space="preserve"> </w:t>
      </w:r>
      <w:r w:rsidR="000E7C61" w:rsidRPr="009F61D1">
        <w:rPr>
          <w:rFonts w:ascii="Garamond" w:hAnsi="Garamond" w:cs="Times New Roman"/>
          <w:sz w:val="24"/>
          <w:szCs w:val="24"/>
        </w:rPr>
        <w:t xml:space="preserve">In the </w:t>
      </w:r>
      <w:r w:rsidR="00F20614" w:rsidRPr="009F61D1">
        <w:rPr>
          <w:rFonts w:ascii="Garamond" w:hAnsi="Garamond" w:cs="Times New Roman"/>
          <w:sz w:val="24"/>
          <w:szCs w:val="24"/>
        </w:rPr>
        <w:t xml:space="preserve">keynote </w:t>
      </w:r>
      <w:r w:rsidR="000E7C61" w:rsidRPr="009F61D1">
        <w:rPr>
          <w:rFonts w:ascii="Garamond" w:hAnsi="Garamond" w:cs="Times New Roman"/>
          <w:sz w:val="24"/>
          <w:szCs w:val="24"/>
        </w:rPr>
        <w:t>Prof. Attridge</w:t>
      </w:r>
      <w:r w:rsidR="004B620C" w:rsidRPr="009F61D1">
        <w:rPr>
          <w:rFonts w:ascii="Garamond" w:hAnsi="Garamond" w:cs="Times New Roman"/>
          <w:sz w:val="24"/>
          <w:szCs w:val="24"/>
        </w:rPr>
        <w:t xml:space="preserve"> </w:t>
      </w:r>
      <w:r w:rsidR="000E7C61" w:rsidRPr="009F61D1">
        <w:rPr>
          <w:rFonts w:ascii="Garamond" w:hAnsi="Garamond" w:cs="Times New Roman"/>
          <w:sz w:val="24"/>
          <w:szCs w:val="24"/>
        </w:rPr>
        <w:t xml:space="preserve">closely followed two literary texts—Robert Browning’s </w:t>
      </w:r>
      <w:r w:rsidR="000E7C61" w:rsidRPr="009F61D1">
        <w:rPr>
          <w:rFonts w:ascii="Garamond" w:hAnsi="Garamond" w:cs="Times New Roman"/>
          <w:i/>
          <w:iCs/>
          <w:sz w:val="24"/>
          <w:szCs w:val="24"/>
        </w:rPr>
        <w:t xml:space="preserve">Meeting at Night </w:t>
      </w:r>
      <w:r w:rsidR="000E7C61" w:rsidRPr="009F61D1">
        <w:rPr>
          <w:rFonts w:ascii="Garamond" w:hAnsi="Garamond" w:cs="Times New Roman"/>
          <w:sz w:val="24"/>
          <w:szCs w:val="24"/>
        </w:rPr>
        <w:t xml:space="preserve">() and Lucy Ellmann’s </w:t>
      </w:r>
      <w:r w:rsidR="000E7C61" w:rsidRPr="009F61D1">
        <w:rPr>
          <w:rFonts w:ascii="Garamond" w:hAnsi="Garamond" w:cs="Times New Roman"/>
          <w:i/>
          <w:iCs/>
          <w:sz w:val="24"/>
          <w:szCs w:val="24"/>
        </w:rPr>
        <w:t xml:space="preserve">Ducks Newburyport </w:t>
      </w:r>
      <w:r w:rsidR="000E7C61" w:rsidRPr="009F61D1">
        <w:rPr>
          <w:rFonts w:ascii="Garamond" w:hAnsi="Garamond" w:cs="Times New Roman"/>
          <w:sz w:val="24"/>
          <w:szCs w:val="24"/>
        </w:rPr>
        <w:t xml:space="preserve">(2019)—arguing how an experience of the reader in each case constitutes a singular literary event. This event can neither be explained away by hermeneutics nor can it be absorbed by an absolute historicism, but, as Prof. Attridge suggested, it requires a language of experience that can only be developed through one’s own intimate encounters with the text. </w:t>
      </w:r>
      <w:r w:rsidRPr="009F61D1">
        <w:rPr>
          <w:rFonts w:ascii="Garamond" w:hAnsi="Garamond" w:cs="Times New Roman"/>
          <w:sz w:val="24"/>
          <w:szCs w:val="24"/>
        </w:rPr>
        <w:t>Following a short break, the</w:t>
      </w:r>
      <w:r w:rsidR="00AD38D7" w:rsidRPr="009F61D1">
        <w:rPr>
          <w:rFonts w:ascii="Garamond" w:hAnsi="Garamond" w:cs="Times New Roman"/>
          <w:sz w:val="24"/>
          <w:szCs w:val="24"/>
        </w:rPr>
        <w:t xml:space="preserve"> conference</w:t>
      </w:r>
      <w:r w:rsidR="000E7C61" w:rsidRPr="009F61D1">
        <w:rPr>
          <w:rFonts w:ascii="Garamond" w:hAnsi="Garamond" w:cs="Times New Roman"/>
          <w:sz w:val="24"/>
          <w:szCs w:val="24"/>
        </w:rPr>
        <w:t xml:space="preserve"> </w:t>
      </w:r>
      <w:r w:rsidR="006165A6" w:rsidRPr="009F61D1">
        <w:rPr>
          <w:rFonts w:ascii="Garamond" w:hAnsi="Garamond" w:cs="Times New Roman"/>
          <w:sz w:val="24"/>
          <w:szCs w:val="24"/>
        </w:rPr>
        <w:t>was split between two parallel panels</w:t>
      </w:r>
      <w:r w:rsidR="00AD38D7" w:rsidRPr="009F61D1">
        <w:rPr>
          <w:rFonts w:ascii="Garamond" w:hAnsi="Garamond" w:cs="Times New Roman"/>
          <w:sz w:val="24"/>
          <w:szCs w:val="24"/>
        </w:rPr>
        <w:t xml:space="preserve">, </w:t>
      </w:r>
      <w:r w:rsidR="006165A6" w:rsidRPr="009F61D1">
        <w:rPr>
          <w:rFonts w:ascii="Garamond" w:hAnsi="Garamond" w:cs="Times New Roman"/>
          <w:sz w:val="24"/>
          <w:szCs w:val="24"/>
        </w:rPr>
        <w:t xml:space="preserve">the overarching theme for which was ‘The Time of Event’. All the six papers presented in these panels concerned themselves with issues of temporality, risk, formal precarity and finitude one way or another. </w:t>
      </w:r>
      <w:r w:rsidR="0080618A" w:rsidRPr="009F61D1">
        <w:rPr>
          <w:rFonts w:ascii="Garamond" w:hAnsi="Garamond" w:cs="Times New Roman"/>
          <w:sz w:val="24"/>
          <w:szCs w:val="24"/>
        </w:rPr>
        <w:t>Apart from a very keen focus on theory and philosophy, t</w:t>
      </w:r>
      <w:r w:rsidR="006165A6" w:rsidRPr="009F61D1">
        <w:rPr>
          <w:rFonts w:ascii="Garamond" w:hAnsi="Garamond" w:cs="Times New Roman"/>
          <w:sz w:val="24"/>
          <w:szCs w:val="24"/>
        </w:rPr>
        <w:t xml:space="preserve">he literary texts discussed under this rubric varied widely </w:t>
      </w:r>
      <w:r w:rsidR="0080618A" w:rsidRPr="009F61D1">
        <w:rPr>
          <w:rFonts w:ascii="Garamond" w:hAnsi="Garamond" w:cs="Times New Roman"/>
          <w:sz w:val="24"/>
          <w:szCs w:val="24"/>
        </w:rPr>
        <w:t xml:space="preserve">and included </w:t>
      </w:r>
      <w:r w:rsidR="006165A6" w:rsidRPr="009F61D1">
        <w:rPr>
          <w:rFonts w:ascii="Garamond" w:hAnsi="Garamond" w:cs="Times New Roman"/>
          <w:sz w:val="24"/>
          <w:szCs w:val="24"/>
        </w:rPr>
        <w:t>Anne Carson, Han Kang, H</w:t>
      </w:r>
      <w:r w:rsidR="003631CD" w:rsidRPr="009F61D1">
        <w:rPr>
          <w:rFonts w:ascii="Garamond" w:hAnsi="Garamond" w:cs="Times New Roman"/>
          <w:sz w:val="24"/>
          <w:szCs w:val="24"/>
        </w:rPr>
        <w:t>é</w:t>
      </w:r>
      <w:r w:rsidR="006165A6" w:rsidRPr="009F61D1">
        <w:rPr>
          <w:rFonts w:ascii="Garamond" w:hAnsi="Garamond" w:cs="Times New Roman"/>
          <w:sz w:val="24"/>
          <w:szCs w:val="24"/>
        </w:rPr>
        <w:t>l</w:t>
      </w:r>
      <w:r w:rsidR="003631CD" w:rsidRPr="009F61D1">
        <w:rPr>
          <w:rFonts w:ascii="Garamond" w:hAnsi="Garamond" w:cs="Times New Roman"/>
          <w:sz w:val="24"/>
          <w:szCs w:val="24"/>
        </w:rPr>
        <w:t>è</w:t>
      </w:r>
      <w:r w:rsidR="006165A6" w:rsidRPr="009F61D1">
        <w:rPr>
          <w:rFonts w:ascii="Garamond" w:hAnsi="Garamond" w:cs="Times New Roman"/>
          <w:sz w:val="24"/>
          <w:szCs w:val="24"/>
        </w:rPr>
        <w:t>n</w:t>
      </w:r>
      <w:r w:rsidR="003631CD" w:rsidRPr="009F61D1">
        <w:rPr>
          <w:rFonts w:ascii="Garamond" w:hAnsi="Garamond" w:cs="Times New Roman"/>
          <w:sz w:val="24"/>
          <w:szCs w:val="24"/>
        </w:rPr>
        <w:t>e</w:t>
      </w:r>
      <w:r w:rsidR="006165A6" w:rsidRPr="009F61D1">
        <w:rPr>
          <w:rFonts w:ascii="Garamond" w:hAnsi="Garamond" w:cs="Times New Roman"/>
          <w:sz w:val="24"/>
          <w:szCs w:val="24"/>
        </w:rPr>
        <w:t xml:space="preserve"> Cixous</w:t>
      </w:r>
      <w:r w:rsidR="0080618A" w:rsidRPr="009F61D1">
        <w:rPr>
          <w:rFonts w:ascii="Garamond" w:hAnsi="Garamond" w:cs="Times New Roman"/>
          <w:sz w:val="24"/>
          <w:szCs w:val="24"/>
        </w:rPr>
        <w:t xml:space="preserve">, Raji Batish </w:t>
      </w:r>
      <w:r w:rsidR="006165A6" w:rsidRPr="009F61D1">
        <w:rPr>
          <w:rFonts w:ascii="Garamond" w:hAnsi="Garamond" w:cs="Times New Roman"/>
          <w:sz w:val="24"/>
          <w:szCs w:val="24"/>
        </w:rPr>
        <w:t>and</w:t>
      </w:r>
      <w:r w:rsidR="0080618A" w:rsidRPr="009F61D1">
        <w:rPr>
          <w:rFonts w:ascii="Garamond" w:hAnsi="Garamond" w:cs="Times New Roman"/>
          <w:sz w:val="24"/>
          <w:szCs w:val="24"/>
        </w:rPr>
        <w:t xml:space="preserve"> Proust among others.</w:t>
      </w:r>
      <w:r w:rsidR="006165A6" w:rsidRPr="009F61D1">
        <w:rPr>
          <w:rFonts w:ascii="Garamond" w:hAnsi="Garamond" w:cs="Times New Roman"/>
          <w:sz w:val="24"/>
          <w:szCs w:val="24"/>
        </w:rPr>
        <w:t xml:space="preserve"> </w:t>
      </w:r>
    </w:p>
    <w:p w14:paraId="2A87A876" w14:textId="77777777" w:rsidR="009F61D1" w:rsidRPr="009F61D1" w:rsidRDefault="009F61D1" w:rsidP="0080618A">
      <w:pPr>
        <w:ind w:firstLine="720"/>
        <w:jc w:val="both"/>
        <w:rPr>
          <w:rFonts w:ascii="Garamond" w:hAnsi="Garamond" w:cs="Times New Roman"/>
          <w:sz w:val="24"/>
          <w:szCs w:val="24"/>
        </w:rPr>
      </w:pPr>
    </w:p>
    <w:p w14:paraId="540F7726" w14:textId="1227182A" w:rsidR="001A5FEE" w:rsidRPr="009F61D1" w:rsidRDefault="0080618A" w:rsidP="00842F50">
      <w:pPr>
        <w:ind w:firstLine="720"/>
        <w:jc w:val="both"/>
        <w:rPr>
          <w:rFonts w:ascii="Garamond" w:hAnsi="Garamond" w:cs="Times New Roman"/>
          <w:sz w:val="24"/>
          <w:szCs w:val="24"/>
        </w:rPr>
      </w:pPr>
      <w:r w:rsidRPr="009F61D1">
        <w:rPr>
          <w:rFonts w:ascii="Garamond" w:hAnsi="Garamond" w:cs="Times New Roman"/>
          <w:sz w:val="24"/>
          <w:szCs w:val="24"/>
        </w:rPr>
        <w:t xml:space="preserve">This was </w:t>
      </w:r>
      <w:r w:rsidR="00620070" w:rsidRPr="009F61D1">
        <w:rPr>
          <w:rFonts w:ascii="Garamond" w:hAnsi="Garamond" w:cs="Times New Roman"/>
          <w:sz w:val="24"/>
          <w:szCs w:val="24"/>
        </w:rPr>
        <w:t xml:space="preserve">followed by </w:t>
      </w:r>
      <w:r w:rsidRPr="009F61D1">
        <w:rPr>
          <w:rFonts w:ascii="Garamond" w:hAnsi="Garamond" w:cs="Times New Roman"/>
          <w:sz w:val="24"/>
          <w:szCs w:val="24"/>
        </w:rPr>
        <w:t>another parallel session under the title ‘Possibility/Impossibility’</w:t>
      </w:r>
      <w:r w:rsidR="00BC65DE" w:rsidRPr="009F61D1">
        <w:rPr>
          <w:rFonts w:ascii="Garamond" w:hAnsi="Garamond" w:cs="Times New Roman"/>
          <w:sz w:val="24"/>
          <w:szCs w:val="24"/>
        </w:rPr>
        <w:t xml:space="preserve">, </w:t>
      </w:r>
      <w:r w:rsidRPr="009F61D1">
        <w:rPr>
          <w:rFonts w:ascii="Garamond" w:hAnsi="Garamond" w:cs="Times New Roman"/>
          <w:sz w:val="24"/>
          <w:szCs w:val="24"/>
        </w:rPr>
        <w:t xml:space="preserve">and the speakers on these panels concerned themselves broad with the possibilities of event, or in some cases it </w:t>
      </w:r>
      <w:r w:rsidR="001A5FEE" w:rsidRPr="009F61D1">
        <w:rPr>
          <w:rFonts w:ascii="Garamond" w:hAnsi="Garamond" w:cs="Times New Roman"/>
          <w:sz w:val="24"/>
          <w:szCs w:val="24"/>
        </w:rPr>
        <w:t>lacks</w:t>
      </w:r>
      <w:r w:rsidR="009110F4" w:rsidRPr="009F61D1">
        <w:rPr>
          <w:rFonts w:ascii="Garamond" w:hAnsi="Garamond" w:cs="Times New Roman"/>
          <w:sz w:val="24"/>
          <w:szCs w:val="24"/>
        </w:rPr>
        <w:t>.</w:t>
      </w:r>
      <w:r w:rsidR="001A5FEE" w:rsidRPr="009F61D1">
        <w:rPr>
          <w:rFonts w:ascii="Garamond" w:hAnsi="Garamond" w:cs="Times New Roman"/>
          <w:sz w:val="24"/>
          <w:szCs w:val="24"/>
        </w:rPr>
        <w:t xml:space="preserve"> </w:t>
      </w:r>
      <w:r w:rsidRPr="009F61D1">
        <w:rPr>
          <w:rFonts w:ascii="Garamond" w:hAnsi="Garamond" w:cs="Times New Roman"/>
          <w:sz w:val="24"/>
          <w:szCs w:val="24"/>
        </w:rPr>
        <w:t xml:space="preserve">While all the paper </w:t>
      </w:r>
      <w:r w:rsidR="001A5FEE" w:rsidRPr="009F61D1">
        <w:rPr>
          <w:rFonts w:ascii="Garamond" w:hAnsi="Garamond" w:cs="Times New Roman"/>
          <w:sz w:val="24"/>
          <w:szCs w:val="24"/>
        </w:rPr>
        <w:t>involved</w:t>
      </w:r>
      <w:r w:rsidRPr="009F61D1">
        <w:rPr>
          <w:rFonts w:ascii="Garamond" w:hAnsi="Garamond" w:cs="Times New Roman"/>
          <w:sz w:val="24"/>
          <w:szCs w:val="24"/>
        </w:rPr>
        <w:t xml:space="preserve"> </w:t>
      </w:r>
      <w:r w:rsidR="001A5FEE" w:rsidRPr="009F61D1">
        <w:rPr>
          <w:rFonts w:ascii="Garamond" w:hAnsi="Garamond" w:cs="Times New Roman"/>
          <w:sz w:val="24"/>
          <w:szCs w:val="24"/>
        </w:rPr>
        <w:t xml:space="preserve">a </w:t>
      </w:r>
      <w:r w:rsidRPr="009F61D1">
        <w:rPr>
          <w:rFonts w:ascii="Garamond" w:hAnsi="Garamond" w:cs="Times New Roman"/>
          <w:sz w:val="24"/>
          <w:szCs w:val="24"/>
        </w:rPr>
        <w:t xml:space="preserve">rigorous discussion of literary texts, particularly those of Howard Barker </w:t>
      </w:r>
      <w:r w:rsidR="001A5FEE" w:rsidRPr="009F61D1">
        <w:rPr>
          <w:rFonts w:ascii="Garamond" w:hAnsi="Garamond" w:cs="Times New Roman"/>
          <w:sz w:val="24"/>
          <w:szCs w:val="24"/>
        </w:rPr>
        <w:t>and Walter Scott, the major focus here remained on continental theorists such as Deleuze, Badiou and Meillassoux and how their works have come to terms with the fraught conditions in which events emerge</w:t>
      </w:r>
      <w:r w:rsidR="009110F4" w:rsidRPr="009F61D1">
        <w:rPr>
          <w:rFonts w:ascii="Garamond" w:hAnsi="Garamond" w:cs="Times New Roman"/>
          <w:sz w:val="24"/>
          <w:szCs w:val="24"/>
        </w:rPr>
        <w:t xml:space="preserve">. </w:t>
      </w:r>
      <w:r w:rsidR="001A5FEE" w:rsidRPr="009F61D1">
        <w:rPr>
          <w:rFonts w:ascii="Garamond" w:hAnsi="Garamond" w:cs="Times New Roman"/>
          <w:sz w:val="24"/>
          <w:szCs w:val="24"/>
        </w:rPr>
        <w:t xml:space="preserve">This was followed by a lunch break. After an </w:t>
      </w:r>
      <w:r w:rsidR="003631CD" w:rsidRPr="009F61D1">
        <w:rPr>
          <w:rFonts w:ascii="Garamond" w:hAnsi="Garamond" w:cs="Times New Roman"/>
          <w:sz w:val="24"/>
          <w:szCs w:val="24"/>
        </w:rPr>
        <w:t>hour-long</w:t>
      </w:r>
      <w:r w:rsidR="001A5FEE" w:rsidRPr="009F61D1">
        <w:rPr>
          <w:rFonts w:ascii="Garamond" w:hAnsi="Garamond" w:cs="Times New Roman"/>
          <w:sz w:val="24"/>
          <w:szCs w:val="24"/>
        </w:rPr>
        <w:t xml:space="preserve"> break, the conference reconvened for another parallel session, titled ‘Aftermath’. As the title suggests, most papers on the two parallel panels discussed the aftermath of a psychological, historical, political event and the ramifications it has for literary form. The papers in this section ranged from a discussion of ‘spectral event’ in the work of Derrida to the prose of Annie Ernaux </w:t>
      </w:r>
      <w:r w:rsidR="003631CD" w:rsidRPr="009F61D1">
        <w:rPr>
          <w:rFonts w:ascii="Garamond" w:hAnsi="Garamond" w:cs="Times New Roman"/>
          <w:sz w:val="24"/>
          <w:szCs w:val="24"/>
        </w:rPr>
        <w:t>and the representations of climate disaster.</w:t>
      </w:r>
      <w:r w:rsidR="001A5FEE" w:rsidRPr="009F61D1">
        <w:rPr>
          <w:rFonts w:ascii="Garamond" w:hAnsi="Garamond" w:cs="Times New Roman"/>
          <w:sz w:val="24"/>
          <w:szCs w:val="24"/>
        </w:rPr>
        <w:t xml:space="preserve"> </w:t>
      </w:r>
      <w:r w:rsidR="003631CD" w:rsidRPr="009F61D1">
        <w:rPr>
          <w:rFonts w:ascii="Garamond" w:hAnsi="Garamond" w:cs="Times New Roman"/>
          <w:sz w:val="24"/>
          <w:szCs w:val="24"/>
        </w:rPr>
        <w:t xml:space="preserve">This was followed by the final parallel panel of the day titled, ‘The Literary Thing’. The papers on these panels focused on literary form and how they bear witness to, respond or recreate the event. </w:t>
      </w:r>
    </w:p>
    <w:p w14:paraId="7719D668" w14:textId="00D6BB88" w:rsidR="00620070" w:rsidRPr="009F61D1" w:rsidRDefault="001A5FEE" w:rsidP="00842F50">
      <w:pPr>
        <w:ind w:firstLine="720"/>
        <w:jc w:val="both"/>
        <w:rPr>
          <w:rFonts w:ascii="Garamond" w:hAnsi="Garamond" w:cs="Times New Roman"/>
          <w:sz w:val="24"/>
          <w:szCs w:val="24"/>
        </w:rPr>
      </w:pPr>
      <w:r w:rsidRPr="009F61D1">
        <w:rPr>
          <w:rFonts w:ascii="Garamond" w:hAnsi="Garamond" w:cs="Times New Roman"/>
          <w:sz w:val="24"/>
          <w:szCs w:val="24"/>
        </w:rPr>
        <w:t xml:space="preserve">   </w:t>
      </w:r>
    </w:p>
    <w:p w14:paraId="48E513B1" w14:textId="0C0C2C86" w:rsidR="003631CD" w:rsidRPr="009F61D1" w:rsidRDefault="003631CD" w:rsidP="00BA30C3">
      <w:pPr>
        <w:ind w:firstLine="720"/>
        <w:jc w:val="both"/>
        <w:rPr>
          <w:rFonts w:ascii="Garamond" w:hAnsi="Garamond" w:cs="Times New Roman"/>
          <w:sz w:val="24"/>
          <w:szCs w:val="24"/>
        </w:rPr>
      </w:pPr>
      <w:r w:rsidRPr="009F61D1">
        <w:rPr>
          <w:rFonts w:ascii="Garamond" w:hAnsi="Garamond" w:cs="Times New Roman"/>
          <w:sz w:val="24"/>
          <w:szCs w:val="24"/>
        </w:rPr>
        <w:t xml:space="preserve">After a short coffee break, all the speakers and audience members assembled in the lecture hall for the second keynote and the final event of the day, titled </w:t>
      </w:r>
      <w:r w:rsidRPr="009F61D1">
        <w:rPr>
          <w:rFonts w:ascii="Garamond" w:hAnsi="Garamond" w:cs="Times New Roman"/>
          <w:i/>
          <w:iCs/>
          <w:sz w:val="24"/>
          <w:szCs w:val="24"/>
        </w:rPr>
        <w:t>Eventually Dust:  On the Particulars of the Present as seen through its Devices</w:t>
      </w:r>
      <w:r w:rsidRPr="009F61D1">
        <w:rPr>
          <w:rFonts w:ascii="Garamond" w:hAnsi="Garamond" w:cs="Times New Roman"/>
          <w:sz w:val="24"/>
          <w:szCs w:val="24"/>
        </w:rPr>
        <w:t xml:space="preserve"> and was delivered by Prof. Esther Leslie (Birkbeck). </w:t>
      </w:r>
      <w:r w:rsidR="00A2367A" w:rsidRPr="009F61D1">
        <w:rPr>
          <w:rFonts w:ascii="Garamond" w:hAnsi="Garamond" w:cs="Times New Roman"/>
          <w:sz w:val="24"/>
          <w:szCs w:val="24"/>
        </w:rPr>
        <w:lastRenderedPageBreak/>
        <w:t xml:space="preserve">Unorthodox in its approach, Prof. Leslie in her keynote made poignant readings of a diverse objects, which included film, paintings, visual installations, tracts, poems and advertisements, to argue how dust is the ultimate event of our modern capitalist order. </w:t>
      </w:r>
      <w:r w:rsidR="00BA30C3" w:rsidRPr="009F61D1">
        <w:rPr>
          <w:rFonts w:ascii="Garamond" w:hAnsi="Garamond" w:cs="Times New Roman"/>
          <w:sz w:val="24"/>
          <w:szCs w:val="24"/>
        </w:rPr>
        <w:t>In the process to make this argument, s</w:t>
      </w:r>
      <w:r w:rsidR="00A2367A" w:rsidRPr="009F61D1">
        <w:rPr>
          <w:rFonts w:ascii="Garamond" w:hAnsi="Garamond" w:cs="Times New Roman"/>
          <w:sz w:val="24"/>
          <w:szCs w:val="24"/>
        </w:rPr>
        <w:t xml:space="preserve">he tied together several ideas coming from continental Marxism and Frankfurt school to make a case for </w:t>
      </w:r>
      <w:r w:rsidR="00BA30C3" w:rsidRPr="009F61D1">
        <w:rPr>
          <w:rFonts w:ascii="Garamond" w:hAnsi="Garamond" w:cs="Times New Roman"/>
          <w:sz w:val="24"/>
          <w:szCs w:val="24"/>
        </w:rPr>
        <w:t>material erosion and inequality that fundamentally defines our present moment and the event to which it is logically beholden.</w:t>
      </w:r>
    </w:p>
    <w:p w14:paraId="4A14DA55" w14:textId="77777777" w:rsidR="00BA30C3" w:rsidRPr="009F61D1" w:rsidRDefault="00BA30C3" w:rsidP="00BA30C3">
      <w:pPr>
        <w:ind w:firstLine="720"/>
        <w:jc w:val="both"/>
        <w:rPr>
          <w:rFonts w:ascii="Garamond" w:hAnsi="Garamond" w:cs="Times New Roman"/>
          <w:sz w:val="24"/>
          <w:szCs w:val="24"/>
        </w:rPr>
      </w:pPr>
    </w:p>
    <w:p w14:paraId="6A7F49F0" w14:textId="4F61EACD" w:rsidR="001A5FEE" w:rsidRPr="009F61D1" w:rsidRDefault="00BA30C3" w:rsidP="0072058A">
      <w:pPr>
        <w:ind w:firstLine="720"/>
        <w:rPr>
          <w:rFonts w:ascii="Garamond" w:eastAsia="Times New Roman" w:hAnsi="Garamond" w:cs="Times New Roman"/>
          <w:sz w:val="24"/>
          <w:szCs w:val="24"/>
          <w:lang w:bidi="hi-IN"/>
        </w:rPr>
      </w:pPr>
      <w:r w:rsidRPr="009F61D1">
        <w:rPr>
          <w:rFonts w:ascii="Garamond" w:hAnsi="Garamond" w:cs="Calibri"/>
        </w:rPr>
        <w:t xml:space="preserve">The conference saw some very engaging discussions and debates, along with a </w:t>
      </w:r>
      <w:r w:rsidRPr="009F61D1">
        <w:rPr>
          <w:rFonts w:ascii="Garamond" w:eastAsia="Times New Roman" w:hAnsi="Garamond" w:cs="Times New Roman"/>
          <w:sz w:val="24"/>
          <w:szCs w:val="24"/>
          <w:lang w:bidi="hi-IN"/>
        </w:rPr>
        <w:t xml:space="preserve">fruitful exchange of ideas and concepts. </w:t>
      </w:r>
      <w:r w:rsidR="0072058A" w:rsidRPr="009F61D1">
        <w:rPr>
          <w:rFonts w:ascii="Garamond" w:eastAsia="Times New Roman" w:hAnsi="Garamond" w:cs="Times New Roman"/>
          <w:sz w:val="24"/>
          <w:szCs w:val="24"/>
          <w:lang w:bidi="hi-IN"/>
        </w:rPr>
        <w:t xml:space="preserve">The </w:t>
      </w:r>
      <w:r w:rsidRPr="009F61D1">
        <w:rPr>
          <w:rFonts w:ascii="Garamond" w:eastAsia="Times New Roman" w:hAnsi="Garamond" w:cs="Times New Roman"/>
          <w:sz w:val="24"/>
          <w:szCs w:val="24"/>
          <w:lang w:bidi="hi-IN"/>
        </w:rPr>
        <w:t xml:space="preserve">question rounds that followed every panel </w:t>
      </w:r>
      <w:r w:rsidR="0072058A" w:rsidRPr="009F61D1">
        <w:rPr>
          <w:rFonts w:ascii="Garamond" w:eastAsia="Times New Roman" w:hAnsi="Garamond" w:cs="Times New Roman"/>
          <w:sz w:val="24"/>
          <w:szCs w:val="24"/>
          <w:lang w:bidi="hi-IN"/>
        </w:rPr>
        <w:t xml:space="preserve">remained busy with many provoking questions, both theoretical and empirical in nature. The common breaks also proved be a good interactive </w:t>
      </w:r>
      <w:r w:rsidRPr="009F61D1">
        <w:rPr>
          <w:rFonts w:ascii="Garamond" w:eastAsia="Times New Roman" w:hAnsi="Garamond" w:cs="Times New Roman"/>
          <w:sz w:val="24"/>
          <w:szCs w:val="24"/>
          <w:lang w:bidi="hi-IN"/>
        </w:rPr>
        <w:t>space</w:t>
      </w:r>
      <w:r w:rsidR="0072058A" w:rsidRPr="009F61D1">
        <w:rPr>
          <w:rFonts w:ascii="Garamond" w:eastAsia="Times New Roman" w:hAnsi="Garamond" w:cs="Times New Roman"/>
          <w:sz w:val="24"/>
          <w:szCs w:val="24"/>
          <w:lang w:bidi="hi-IN"/>
        </w:rPr>
        <w:t xml:space="preserve"> for various academics with similar research interest and methodology to refine their ideas and plan further collaborations</w:t>
      </w:r>
      <w:r w:rsidRPr="009F61D1">
        <w:rPr>
          <w:rFonts w:ascii="Garamond" w:eastAsia="Times New Roman" w:hAnsi="Garamond" w:cs="Times New Roman"/>
          <w:sz w:val="24"/>
          <w:szCs w:val="24"/>
          <w:lang w:bidi="hi-IN"/>
        </w:rPr>
        <w:t>. </w:t>
      </w:r>
      <w:r w:rsidR="001A5FEE" w:rsidRPr="009F61D1">
        <w:rPr>
          <w:rFonts w:ascii="Garamond" w:hAnsi="Garamond" w:cs="Calibri"/>
        </w:rPr>
        <w:t xml:space="preserve">We hope that this conference will lead to further </w:t>
      </w:r>
      <w:r w:rsidR="0072058A" w:rsidRPr="009F61D1">
        <w:rPr>
          <w:rFonts w:ascii="Garamond" w:hAnsi="Garamond" w:cs="Calibri"/>
        </w:rPr>
        <w:t>‘</w:t>
      </w:r>
      <w:r w:rsidR="001A5FEE" w:rsidRPr="009F61D1">
        <w:rPr>
          <w:rFonts w:ascii="Garamond" w:hAnsi="Garamond" w:cs="Calibri"/>
        </w:rPr>
        <w:t>events</w:t>
      </w:r>
      <w:r w:rsidR="0072058A" w:rsidRPr="009F61D1">
        <w:rPr>
          <w:rFonts w:ascii="Garamond" w:hAnsi="Garamond" w:cs="Calibri"/>
        </w:rPr>
        <w:t>’</w:t>
      </w:r>
      <w:r w:rsidR="001A5FEE" w:rsidRPr="009F61D1">
        <w:rPr>
          <w:rFonts w:ascii="Garamond" w:hAnsi="Garamond" w:cs="Calibri"/>
        </w:rPr>
        <w:t>, projects and collaborations within the academic community of</w:t>
      </w:r>
      <w:r w:rsidR="0072058A" w:rsidRPr="009F61D1">
        <w:rPr>
          <w:rFonts w:ascii="Garamond" w:hAnsi="Garamond" w:cs="Calibri"/>
        </w:rPr>
        <w:t xml:space="preserve"> scholars working with theories of event and literary form</w:t>
      </w:r>
      <w:r w:rsidR="001A5FEE" w:rsidRPr="009F61D1">
        <w:rPr>
          <w:rFonts w:ascii="Garamond" w:hAnsi="Garamond" w:cs="Calibri"/>
        </w:rPr>
        <w:t xml:space="preserve">. </w:t>
      </w:r>
    </w:p>
    <w:p w14:paraId="30446457" w14:textId="77777777" w:rsidR="001A5FEE" w:rsidRPr="009F61D1" w:rsidRDefault="001A5FEE" w:rsidP="001A5FEE">
      <w:pPr>
        <w:rPr>
          <w:rFonts w:ascii="Garamond" w:hAnsi="Garamond" w:cs="Calibri"/>
        </w:rPr>
      </w:pPr>
    </w:p>
    <w:p w14:paraId="4ACA2383" w14:textId="64A3DB7C" w:rsidR="001A5FEE" w:rsidRPr="009F61D1" w:rsidRDefault="001A5FEE" w:rsidP="001A5FEE">
      <w:pPr>
        <w:rPr>
          <w:rFonts w:ascii="Garamond" w:hAnsi="Garamond" w:cs="Calibri"/>
        </w:rPr>
      </w:pPr>
    </w:p>
    <w:p w14:paraId="7D281C87" w14:textId="77777777" w:rsidR="009F61D1" w:rsidRPr="009F61D1" w:rsidRDefault="009F61D1" w:rsidP="001A5FEE">
      <w:pPr>
        <w:rPr>
          <w:rFonts w:ascii="Garamond" w:hAnsi="Garamond" w:cs="Calibri"/>
        </w:rPr>
      </w:pPr>
    </w:p>
    <w:p w14:paraId="47C1447D" w14:textId="4B4A06EC" w:rsidR="001A5FEE" w:rsidRPr="009F61D1" w:rsidRDefault="001A5FEE" w:rsidP="001A5FEE">
      <w:pPr>
        <w:jc w:val="right"/>
        <w:rPr>
          <w:rFonts w:ascii="Garamond" w:hAnsi="Garamond"/>
        </w:rPr>
      </w:pPr>
      <w:r w:rsidRPr="009F61D1">
        <w:rPr>
          <w:rFonts w:ascii="Garamond" w:hAnsi="Garamond" w:cs="Calibri"/>
        </w:rPr>
        <w:t xml:space="preserve">Organised by Mantra Mukim, PhD Candidate at the University of Warwick, </w:t>
      </w:r>
    </w:p>
    <w:p w14:paraId="71F878AD" w14:textId="002134B9" w:rsidR="001A5FEE" w:rsidRPr="009F61D1" w:rsidRDefault="009E71C3" w:rsidP="001A5FEE">
      <w:pPr>
        <w:jc w:val="right"/>
        <w:rPr>
          <w:rFonts w:ascii="Garamond" w:hAnsi="Garamond"/>
        </w:rPr>
      </w:pPr>
      <w:hyperlink r:id="rId6" w:history="1">
        <w:r w:rsidR="001A5FEE" w:rsidRPr="009F61D1">
          <w:rPr>
            <w:rStyle w:val="Hyperlink"/>
            <w:rFonts w:ascii="Garamond" w:hAnsi="Garamond"/>
          </w:rPr>
          <w:t>mantra.mukim@warwick.ac.uk</w:t>
        </w:r>
      </w:hyperlink>
    </w:p>
    <w:p w14:paraId="498BCC8A" w14:textId="77777777" w:rsidR="001A5FEE" w:rsidRPr="009F61D1" w:rsidRDefault="001A5FEE" w:rsidP="001A5FEE">
      <w:pPr>
        <w:jc w:val="right"/>
        <w:rPr>
          <w:rFonts w:ascii="Garamond" w:hAnsi="Garamond" w:cs="Calibri"/>
        </w:rPr>
      </w:pPr>
    </w:p>
    <w:p w14:paraId="5C6D3877" w14:textId="77777777" w:rsidR="001A5FEE" w:rsidRPr="009F61D1" w:rsidRDefault="001A5FEE" w:rsidP="001A5FEE">
      <w:pPr>
        <w:rPr>
          <w:rFonts w:ascii="Garamond" w:hAnsi="Garamond" w:cs="Calibri"/>
        </w:rPr>
      </w:pPr>
    </w:p>
    <w:p w14:paraId="25EA9F7C" w14:textId="296A34FB" w:rsidR="00767DFD" w:rsidRPr="009F61D1" w:rsidRDefault="00342B0E" w:rsidP="00842F50">
      <w:pPr>
        <w:ind w:firstLine="720"/>
        <w:jc w:val="both"/>
        <w:rPr>
          <w:rFonts w:ascii="Garamond" w:hAnsi="Garamond" w:cs="Times New Roman"/>
          <w:sz w:val="24"/>
          <w:szCs w:val="24"/>
        </w:rPr>
      </w:pPr>
      <w:r w:rsidRPr="009F61D1">
        <w:rPr>
          <w:rFonts w:ascii="Garamond" w:hAnsi="Garamond" w:cs="Times New Roman"/>
          <w:sz w:val="24"/>
          <w:szCs w:val="24"/>
        </w:rPr>
        <w:t xml:space="preserve">. </w:t>
      </w:r>
    </w:p>
    <w:p w14:paraId="3631CC7E" w14:textId="2F7ED00C" w:rsidR="004B620C" w:rsidRPr="009F61D1" w:rsidRDefault="004B620C" w:rsidP="00842F50">
      <w:pPr>
        <w:jc w:val="both"/>
        <w:rPr>
          <w:rFonts w:ascii="Garamond" w:hAnsi="Garamond" w:cs="Times New Roman"/>
          <w:sz w:val="24"/>
          <w:szCs w:val="24"/>
        </w:rPr>
      </w:pPr>
    </w:p>
    <w:p w14:paraId="2F0020C5" w14:textId="32F5F930" w:rsidR="004B620C" w:rsidRPr="009F61D1" w:rsidRDefault="004B620C" w:rsidP="00842F50">
      <w:pPr>
        <w:jc w:val="both"/>
        <w:rPr>
          <w:rFonts w:ascii="Garamond" w:hAnsi="Garamond" w:cs="Times New Roman"/>
          <w:sz w:val="24"/>
          <w:szCs w:val="24"/>
        </w:rPr>
      </w:pPr>
    </w:p>
    <w:p w14:paraId="557E77CD" w14:textId="38294AC8" w:rsidR="004B620C" w:rsidRPr="009F61D1" w:rsidRDefault="004B620C" w:rsidP="00842F50">
      <w:pPr>
        <w:jc w:val="both"/>
        <w:rPr>
          <w:rFonts w:ascii="Garamond" w:hAnsi="Garamond" w:cs="Times New Roman"/>
          <w:sz w:val="24"/>
          <w:szCs w:val="24"/>
        </w:rPr>
      </w:pPr>
      <w:r w:rsidRPr="009F61D1">
        <w:rPr>
          <w:rFonts w:ascii="Garamond" w:hAnsi="Garamond" w:cs="Times New Roman"/>
          <w:sz w:val="24"/>
          <w:szCs w:val="24"/>
        </w:rPr>
        <w:t xml:space="preserve"> </w:t>
      </w:r>
    </w:p>
    <w:sectPr w:rsidR="004B620C" w:rsidRPr="009F61D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D21D81" w14:textId="77777777" w:rsidR="00810AD6" w:rsidRDefault="00810AD6" w:rsidP="00986E6D">
      <w:pPr>
        <w:spacing w:after="0" w:line="240" w:lineRule="auto"/>
      </w:pPr>
      <w:r>
        <w:separator/>
      </w:r>
    </w:p>
  </w:endnote>
  <w:endnote w:type="continuationSeparator" w:id="0">
    <w:p w14:paraId="782F1535" w14:textId="77777777" w:rsidR="00810AD6" w:rsidRDefault="00810AD6" w:rsidP="00986E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Mangal">
    <w:altName w:val="Courier New"/>
    <w:panose1 w:val="00000400000000000000"/>
    <w:charset w:val="01"/>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E4D9EB" w14:textId="77777777" w:rsidR="00810AD6" w:rsidRDefault="00810AD6" w:rsidP="00986E6D">
      <w:pPr>
        <w:spacing w:after="0" w:line="240" w:lineRule="auto"/>
      </w:pPr>
      <w:r>
        <w:separator/>
      </w:r>
    </w:p>
  </w:footnote>
  <w:footnote w:type="continuationSeparator" w:id="0">
    <w:p w14:paraId="6D18D0B2" w14:textId="77777777" w:rsidR="00810AD6" w:rsidRDefault="00810AD6" w:rsidP="00986E6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38CE"/>
    <w:rsid w:val="0000662C"/>
    <w:rsid w:val="000421E3"/>
    <w:rsid w:val="00075A97"/>
    <w:rsid w:val="000E0119"/>
    <w:rsid w:val="000E7C61"/>
    <w:rsid w:val="001A5FEE"/>
    <w:rsid w:val="00205693"/>
    <w:rsid w:val="00342B0E"/>
    <w:rsid w:val="003631CD"/>
    <w:rsid w:val="004B620C"/>
    <w:rsid w:val="004C3BD4"/>
    <w:rsid w:val="004C6332"/>
    <w:rsid w:val="0050402C"/>
    <w:rsid w:val="005D4862"/>
    <w:rsid w:val="006138CE"/>
    <w:rsid w:val="006165A6"/>
    <w:rsid w:val="00617C02"/>
    <w:rsid w:val="00620070"/>
    <w:rsid w:val="006265A6"/>
    <w:rsid w:val="00677218"/>
    <w:rsid w:val="0072058A"/>
    <w:rsid w:val="00767DFD"/>
    <w:rsid w:val="007A2012"/>
    <w:rsid w:val="007C098E"/>
    <w:rsid w:val="0080618A"/>
    <w:rsid w:val="00810AD6"/>
    <w:rsid w:val="00837450"/>
    <w:rsid w:val="00842F50"/>
    <w:rsid w:val="0085682E"/>
    <w:rsid w:val="008B75F8"/>
    <w:rsid w:val="009110F4"/>
    <w:rsid w:val="00986E6D"/>
    <w:rsid w:val="009957C8"/>
    <w:rsid w:val="009D4AF4"/>
    <w:rsid w:val="009E3D5B"/>
    <w:rsid w:val="009F61D1"/>
    <w:rsid w:val="00A07D8A"/>
    <w:rsid w:val="00A2367A"/>
    <w:rsid w:val="00AC383F"/>
    <w:rsid w:val="00AD0BDC"/>
    <w:rsid w:val="00AD38D7"/>
    <w:rsid w:val="00B40865"/>
    <w:rsid w:val="00BA30C3"/>
    <w:rsid w:val="00BC1381"/>
    <w:rsid w:val="00BC65DE"/>
    <w:rsid w:val="00CA1994"/>
    <w:rsid w:val="00D40134"/>
    <w:rsid w:val="00DA4838"/>
    <w:rsid w:val="00E0054A"/>
    <w:rsid w:val="00E27F0C"/>
    <w:rsid w:val="00E413D2"/>
    <w:rsid w:val="00F20614"/>
    <w:rsid w:val="00F44415"/>
    <w:rsid w:val="00FB1096"/>
  </w:rsids>
  <m:mathPr>
    <m:mathFont m:val="Cambria Math"/>
    <m:brkBin m:val="before"/>
    <m:brkBinSub m:val="--"/>
    <m:smallFrac m:val="0"/>
    <m:dispDef/>
    <m:lMargin m:val="0"/>
    <m:rMargin m:val="0"/>
    <m:defJc m:val="centerGroup"/>
    <m:wrapIndent m:val="1440"/>
    <m:intLim m:val="subSup"/>
    <m:naryLim m:val="undOvr"/>
  </m:mathPr>
  <w:themeFontLang w:val="en-GB" w:eastAsia="zh-CN"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0B9083"/>
  <w15:chartTrackingRefBased/>
  <w15:docId w15:val="{D2DC3126-26D5-447E-A8EB-7E11196B64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C383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383F"/>
    <w:rPr>
      <w:rFonts w:ascii="Segoe UI" w:hAnsi="Segoe UI" w:cs="Segoe UI"/>
      <w:sz w:val="18"/>
      <w:szCs w:val="18"/>
    </w:rPr>
  </w:style>
  <w:style w:type="character" w:styleId="CommentReference">
    <w:name w:val="annotation reference"/>
    <w:basedOn w:val="DefaultParagraphFont"/>
    <w:uiPriority w:val="99"/>
    <w:semiHidden/>
    <w:unhideWhenUsed/>
    <w:rsid w:val="000E0119"/>
    <w:rPr>
      <w:sz w:val="16"/>
      <w:szCs w:val="16"/>
    </w:rPr>
  </w:style>
  <w:style w:type="paragraph" w:styleId="CommentText">
    <w:name w:val="annotation text"/>
    <w:basedOn w:val="Normal"/>
    <w:link w:val="CommentTextChar"/>
    <w:uiPriority w:val="99"/>
    <w:semiHidden/>
    <w:unhideWhenUsed/>
    <w:rsid w:val="000E0119"/>
    <w:pPr>
      <w:spacing w:line="240" w:lineRule="auto"/>
    </w:pPr>
    <w:rPr>
      <w:sz w:val="20"/>
      <w:szCs w:val="20"/>
    </w:rPr>
  </w:style>
  <w:style w:type="character" w:customStyle="1" w:styleId="CommentTextChar">
    <w:name w:val="Comment Text Char"/>
    <w:basedOn w:val="DefaultParagraphFont"/>
    <w:link w:val="CommentText"/>
    <w:uiPriority w:val="99"/>
    <w:semiHidden/>
    <w:rsid w:val="000E0119"/>
    <w:rPr>
      <w:sz w:val="20"/>
      <w:szCs w:val="20"/>
    </w:rPr>
  </w:style>
  <w:style w:type="paragraph" w:styleId="CommentSubject">
    <w:name w:val="annotation subject"/>
    <w:basedOn w:val="CommentText"/>
    <w:next w:val="CommentText"/>
    <w:link w:val="CommentSubjectChar"/>
    <w:uiPriority w:val="99"/>
    <w:semiHidden/>
    <w:unhideWhenUsed/>
    <w:rsid w:val="000E0119"/>
    <w:rPr>
      <w:b/>
      <w:bCs/>
    </w:rPr>
  </w:style>
  <w:style w:type="character" w:customStyle="1" w:styleId="CommentSubjectChar">
    <w:name w:val="Comment Subject Char"/>
    <w:basedOn w:val="CommentTextChar"/>
    <w:link w:val="CommentSubject"/>
    <w:uiPriority w:val="99"/>
    <w:semiHidden/>
    <w:rsid w:val="000E0119"/>
    <w:rPr>
      <w:b/>
      <w:bCs/>
      <w:sz w:val="20"/>
      <w:szCs w:val="20"/>
    </w:rPr>
  </w:style>
  <w:style w:type="paragraph" w:styleId="Header">
    <w:name w:val="header"/>
    <w:basedOn w:val="Normal"/>
    <w:link w:val="HeaderChar"/>
    <w:uiPriority w:val="99"/>
    <w:unhideWhenUsed/>
    <w:rsid w:val="00986E6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86E6D"/>
  </w:style>
  <w:style w:type="paragraph" w:styleId="Footer">
    <w:name w:val="footer"/>
    <w:basedOn w:val="Normal"/>
    <w:link w:val="FooterChar"/>
    <w:uiPriority w:val="99"/>
    <w:unhideWhenUsed/>
    <w:rsid w:val="00986E6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86E6D"/>
  </w:style>
  <w:style w:type="character" w:styleId="Hyperlink">
    <w:name w:val="Hyperlink"/>
    <w:basedOn w:val="DefaultParagraphFont"/>
    <w:uiPriority w:val="99"/>
    <w:unhideWhenUsed/>
    <w:rsid w:val="001A5FEE"/>
    <w:rPr>
      <w:color w:val="0563C1" w:themeColor="hyperlink"/>
      <w:u w:val="single"/>
    </w:rPr>
  </w:style>
  <w:style w:type="character" w:customStyle="1" w:styleId="UnresolvedMention">
    <w:name w:val="Unresolved Mention"/>
    <w:basedOn w:val="DefaultParagraphFont"/>
    <w:uiPriority w:val="99"/>
    <w:semiHidden/>
    <w:unhideWhenUsed/>
    <w:rsid w:val="001A5FE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1293541">
      <w:bodyDiv w:val="1"/>
      <w:marLeft w:val="0"/>
      <w:marRight w:val="0"/>
      <w:marTop w:val="0"/>
      <w:marBottom w:val="0"/>
      <w:divBdr>
        <w:top w:val="none" w:sz="0" w:space="0" w:color="auto"/>
        <w:left w:val="none" w:sz="0" w:space="0" w:color="auto"/>
        <w:bottom w:val="none" w:sz="0" w:space="0" w:color="auto"/>
        <w:right w:val="none" w:sz="0" w:space="0" w:color="auto"/>
      </w:divBdr>
      <w:divsChild>
        <w:div w:id="910848092">
          <w:marLeft w:val="0"/>
          <w:marRight w:val="0"/>
          <w:marTop w:val="0"/>
          <w:marBottom w:val="0"/>
          <w:divBdr>
            <w:top w:val="none" w:sz="0" w:space="0" w:color="auto"/>
            <w:left w:val="none" w:sz="0" w:space="0" w:color="auto"/>
            <w:bottom w:val="none" w:sz="0" w:space="0" w:color="auto"/>
            <w:right w:val="none" w:sz="0" w:space="0" w:color="auto"/>
          </w:divBdr>
        </w:div>
        <w:div w:id="6679003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mantra.mukim@warwick.ac.uk"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E3C8117</Template>
  <TotalTime>1</TotalTime>
  <Pages>2</Pages>
  <Words>768</Words>
  <Characters>4380</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amulya.gyawali@gmail.com</dc:creator>
  <cp:keywords/>
  <dc:description/>
  <cp:lastModifiedBy>Rae, Sue</cp:lastModifiedBy>
  <cp:revision>2</cp:revision>
  <dcterms:created xsi:type="dcterms:W3CDTF">2020-06-03T13:18:00Z</dcterms:created>
  <dcterms:modified xsi:type="dcterms:W3CDTF">2020-06-03T13:18:00Z</dcterms:modified>
</cp:coreProperties>
</file>