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9AF40" w14:textId="46133700" w:rsidR="00CE7AE6" w:rsidRDefault="00CE7AE6">
      <w:proofErr w:type="spellStart"/>
      <w:r>
        <w:t>MindGrad</w:t>
      </w:r>
      <w:proofErr w:type="spellEnd"/>
      <w:r>
        <w:t xml:space="preserve"> 2026</w:t>
      </w:r>
    </w:p>
    <w:p w14:paraId="2A9C3351" w14:textId="77777777" w:rsidR="00CE7AE6" w:rsidRDefault="00CE7AE6"/>
    <w:p w14:paraId="77D03C55" w14:textId="2536E346" w:rsidR="003F37F6" w:rsidRDefault="003F37F6">
      <w:proofErr w:type="spellStart"/>
      <w:r>
        <w:t>MindGrad</w:t>
      </w:r>
      <w:proofErr w:type="spellEnd"/>
      <w:r>
        <w:t xml:space="preserve"> is a long-running semi-regular graduate conference series for graduate students working in psychology and the philosophy of mind and action. </w:t>
      </w:r>
      <w:r w:rsidR="00883E86">
        <w:t xml:space="preserve">It is organised by graduate students, for graduate students. </w:t>
      </w:r>
      <w:r>
        <w:t>The 2026 conference</w:t>
      </w:r>
      <w:r w:rsidR="003061BA">
        <w:t xml:space="preserve"> was held on Saturday 14</w:t>
      </w:r>
      <w:r w:rsidR="003061BA" w:rsidRPr="003061BA">
        <w:rPr>
          <w:vertAlign w:val="superscript"/>
        </w:rPr>
        <w:t>th</w:t>
      </w:r>
      <w:r w:rsidR="003061BA">
        <w:t xml:space="preserve"> and Sunday 15</w:t>
      </w:r>
      <w:r w:rsidR="003061BA" w:rsidRPr="003061BA">
        <w:rPr>
          <w:vertAlign w:val="superscript"/>
        </w:rPr>
        <w:t>th</w:t>
      </w:r>
      <w:r w:rsidR="003061BA">
        <w:t xml:space="preserve"> February. This</w:t>
      </w:r>
      <w:r>
        <w:t xml:space="preserve"> </w:t>
      </w:r>
      <w:r w:rsidR="003061BA">
        <w:t>was</w:t>
      </w:r>
      <w:r>
        <w:t xml:space="preserve"> the 20</w:t>
      </w:r>
      <w:r w:rsidRPr="003F37F6">
        <w:rPr>
          <w:vertAlign w:val="superscript"/>
        </w:rPr>
        <w:t>th</w:t>
      </w:r>
      <w:r>
        <w:t xml:space="preserve"> iteration of MindGrad, </w:t>
      </w:r>
      <w:r w:rsidR="003061BA">
        <w:t>and also marked</w:t>
      </w:r>
      <w:r>
        <w:t xml:space="preserve"> the 60</w:t>
      </w:r>
      <w:r w:rsidRPr="003F37F6">
        <w:rPr>
          <w:vertAlign w:val="superscript"/>
        </w:rPr>
        <w:t>th</w:t>
      </w:r>
      <w:r>
        <w:t xml:space="preserve"> anniversary of Warwick Philosophy. As a celebration of these milestones and the many brilliant speakers who have presented at past MindGrad conferences, all our keynote speakers were drawn from previous speakers: Dr Jessie Munton and Dr Rory Madden presented as graduate students, and Professor Helen Steward had been a previous keynote speaker. </w:t>
      </w:r>
    </w:p>
    <w:p w14:paraId="59650F3D" w14:textId="77777777" w:rsidR="003F37F6" w:rsidRDefault="003F37F6"/>
    <w:p w14:paraId="1A3E6E17" w14:textId="5E1C888E" w:rsidR="00B62339" w:rsidRDefault="003F37F6">
      <w:r>
        <w:t>The conference was open themed this year to reflect the range of topics which fall under psychology and philosophy of mind and action</w:t>
      </w:r>
      <w:r w:rsidR="00883E86">
        <w:t>, and to highlight the changes in these areas since the first iteration of MindGrad</w:t>
      </w:r>
      <w:r>
        <w:t xml:space="preserve">. Out of a total of 50 papers submitted by graduate students, five were chosen which covered a broad range of topics, including papers in the history of philosophy and Buddhist philosophy. Each graduate paper received a response from a member of the Warwick Philosophy faculty with expertise in the particular area of study. </w:t>
      </w:r>
    </w:p>
    <w:p w14:paraId="1C12B16A" w14:textId="77777777" w:rsidR="00B62339" w:rsidRDefault="00B62339"/>
    <w:p w14:paraId="592E00CE" w14:textId="7F354BAE" w:rsidR="00B62339" w:rsidRDefault="00CF7542">
      <w:r>
        <w:t>Responses were also provided to keynote talks by University of Warwick graduate students working in similar areas.</w:t>
      </w:r>
      <w:r w:rsidR="00B62339">
        <w:t xml:space="preserve"> Ahead of the conference, a reading group was held within the University of Warwick Philosophy department in order to familiarise graduate students and faculty with papers by keynote speakers or otherwise relevant to their talks. The reading group was well attended and lasted for six sessions, two for each keynote speaker.</w:t>
      </w:r>
      <w:r>
        <w:t xml:space="preserve"> </w:t>
      </w:r>
      <w:r w:rsidR="00946149">
        <w:t xml:space="preserve">These sessions were of particular help to those graduate students responding to our keynote speakers, giving them more depth of knowledge of the work of these keynotes which they could draw on in their responses. </w:t>
      </w:r>
    </w:p>
    <w:p w14:paraId="73766B02" w14:textId="77777777" w:rsidR="00B62339" w:rsidRDefault="00B62339"/>
    <w:p w14:paraId="6DECA0C8" w14:textId="729345EA" w:rsidR="003F37F6" w:rsidRDefault="003F37F6">
      <w:r>
        <w:t>A full list of papers</w:t>
      </w:r>
      <w:r w:rsidR="00B62339">
        <w:t xml:space="preserve"> presented at the conference</w:t>
      </w:r>
      <w:r>
        <w:t xml:space="preserve"> is below:</w:t>
      </w:r>
    </w:p>
    <w:p w14:paraId="38F41F28" w14:textId="77777777" w:rsidR="003F37F6" w:rsidRDefault="003F37F6"/>
    <w:tbl>
      <w:tblPr>
        <w:tblStyle w:val="TableGrid"/>
        <w:tblpPr w:leftFromText="180" w:rightFromText="180" w:vertAnchor="text" w:horzAnchor="margin" w:tblpY="-13"/>
        <w:tblW w:w="0" w:type="auto"/>
        <w:tblLook w:val="04A0" w:firstRow="1" w:lastRow="0" w:firstColumn="1" w:lastColumn="0" w:noHBand="0" w:noVBand="1"/>
      </w:tblPr>
      <w:tblGrid>
        <w:gridCol w:w="3005"/>
        <w:gridCol w:w="3005"/>
        <w:gridCol w:w="3006"/>
      </w:tblGrid>
      <w:tr w:rsidR="003F37F6" w14:paraId="7B516107" w14:textId="77777777" w:rsidTr="003F37F6">
        <w:tc>
          <w:tcPr>
            <w:tcW w:w="3005" w:type="dxa"/>
          </w:tcPr>
          <w:p w14:paraId="198B9B9C" w14:textId="77777777" w:rsidR="003F37F6" w:rsidRPr="00B62339" w:rsidRDefault="003F37F6" w:rsidP="003F37F6">
            <w:pPr>
              <w:rPr>
                <w:b/>
                <w:bCs/>
              </w:rPr>
            </w:pPr>
            <w:r w:rsidRPr="00B62339">
              <w:rPr>
                <w:b/>
                <w:bCs/>
              </w:rPr>
              <w:lastRenderedPageBreak/>
              <w:t>Speaker</w:t>
            </w:r>
          </w:p>
        </w:tc>
        <w:tc>
          <w:tcPr>
            <w:tcW w:w="3005" w:type="dxa"/>
          </w:tcPr>
          <w:p w14:paraId="1BDD756F" w14:textId="77777777" w:rsidR="003F37F6" w:rsidRPr="00B62339" w:rsidRDefault="003F37F6" w:rsidP="003F37F6">
            <w:pPr>
              <w:rPr>
                <w:b/>
                <w:bCs/>
              </w:rPr>
            </w:pPr>
            <w:r w:rsidRPr="00B62339">
              <w:rPr>
                <w:b/>
                <w:bCs/>
              </w:rPr>
              <w:t>Title of talk</w:t>
            </w:r>
          </w:p>
        </w:tc>
        <w:tc>
          <w:tcPr>
            <w:tcW w:w="3006" w:type="dxa"/>
          </w:tcPr>
          <w:p w14:paraId="19EEDAEC" w14:textId="77777777" w:rsidR="003F37F6" w:rsidRPr="00B62339" w:rsidRDefault="003F37F6" w:rsidP="003F37F6">
            <w:pPr>
              <w:rPr>
                <w:b/>
                <w:bCs/>
              </w:rPr>
            </w:pPr>
            <w:r w:rsidRPr="00B62339">
              <w:rPr>
                <w:b/>
                <w:bCs/>
              </w:rPr>
              <w:t>Respondent</w:t>
            </w:r>
          </w:p>
        </w:tc>
      </w:tr>
      <w:tr w:rsidR="003F37F6" w14:paraId="5F889C83" w14:textId="77777777" w:rsidTr="003F37F6">
        <w:tc>
          <w:tcPr>
            <w:tcW w:w="3005" w:type="dxa"/>
          </w:tcPr>
          <w:p w14:paraId="7C044CD0" w14:textId="7FD24509" w:rsidR="003F37F6" w:rsidRDefault="003F37F6" w:rsidP="003F37F6">
            <w:r>
              <w:t>Professor Helen Steward (keynote) (University of Leeds)</w:t>
            </w:r>
          </w:p>
        </w:tc>
        <w:tc>
          <w:tcPr>
            <w:tcW w:w="3005" w:type="dxa"/>
          </w:tcPr>
          <w:p w14:paraId="4C03D0C1" w14:textId="46A9CA09" w:rsidR="003F37F6" w:rsidRDefault="003061BA" w:rsidP="003F37F6">
            <w:r>
              <w:t>Who are the Agents?</w:t>
            </w:r>
          </w:p>
        </w:tc>
        <w:tc>
          <w:tcPr>
            <w:tcW w:w="3006" w:type="dxa"/>
          </w:tcPr>
          <w:p w14:paraId="496C6C6E" w14:textId="58CA14B6" w:rsidR="003F37F6" w:rsidRDefault="003F37F6" w:rsidP="003F37F6">
            <w:r>
              <w:t>Chris Hall (Warwick PhD student)</w:t>
            </w:r>
          </w:p>
        </w:tc>
      </w:tr>
      <w:tr w:rsidR="003F37F6" w14:paraId="1D751FD4" w14:textId="77777777" w:rsidTr="003F37F6">
        <w:tc>
          <w:tcPr>
            <w:tcW w:w="3005" w:type="dxa"/>
          </w:tcPr>
          <w:p w14:paraId="16E944A7" w14:textId="3EDB4035" w:rsidR="003F37F6" w:rsidRDefault="003F37F6" w:rsidP="003F37F6">
            <w:r>
              <w:t>Dr Jessie Munton (keynote) (University of Cambridge)</w:t>
            </w:r>
          </w:p>
        </w:tc>
        <w:tc>
          <w:tcPr>
            <w:tcW w:w="3005" w:type="dxa"/>
          </w:tcPr>
          <w:p w14:paraId="0DFB8633" w14:textId="1281228D" w:rsidR="003F37F6" w:rsidRDefault="003F37F6" w:rsidP="003F37F6">
            <w:r>
              <w:t>Collective Forgetting</w:t>
            </w:r>
          </w:p>
        </w:tc>
        <w:tc>
          <w:tcPr>
            <w:tcW w:w="3006" w:type="dxa"/>
          </w:tcPr>
          <w:p w14:paraId="0558099B" w14:textId="05F44A3A" w:rsidR="003F37F6" w:rsidRDefault="003F37F6" w:rsidP="003F37F6">
            <w:r>
              <w:t>Emily Boocock (Warwick PhD student)</w:t>
            </w:r>
          </w:p>
        </w:tc>
      </w:tr>
      <w:tr w:rsidR="003F37F6" w14:paraId="5D1CCB70" w14:textId="77777777" w:rsidTr="003F37F6">
        <w:tc>
          <w:tcPr>
            <w:tcW w:w="3005" w:type="dxa"/>
          </w:tcPr>
          <w:p w14:paraId="3152DB69" w14:textId="6F5B0923" w:rsidR="003F37F6" w:rsidRDefault="003F37F6" w:rsidP="003F37F6">
            <w:r>
              <w:t>Dr Rory Madden (keynote) (UCL)</w:t>
            </w:r>
          </w:p>
        </w:tc>
        <w:tc>
          <w:tcPr>
            <w:tcW w:w="3005" w:type="dxa"/>
          </w:tcPr>
          <w:p w14:paraId="52B82B5A" w14:textId="3580D357" w:rsidR="003F37F6" w:rsidRDefault="003F37F6" w:rsidP="003F37F6">
            <w:r>
              <w:t>A Temporal Approach to Phenomenal Unity</w:t>
            </w:r>
          </w:p>
        </w:tc>
        <w:tc>
          <w:tcPr>
            <w:tcW w:w="3006" w:type="dxa"/>
          </w:tcPr>
          <w:p w14:paraId="7E63FE39" w14:textId="507FF3FE" w:rsidR="003F37F6" w:rsidRDefault="003F37F6" w:rsidP="003F37F6">
            <w:r>
              <w:t>Emma Clinton (Warwick MPhil student)</w:t>
            </w:r>
          </w:p>
        </w:tc>
      </w:tr>
      <w:tr w:rsidR="003F37F6" w14:paraId="42AB31FC" w14:textId="77777777" w:rsidTr="003F37F6">
        <w:tc>
          <w:tcPr>
            <w:tcW w:w="3005" w:type="dxa"/>
          </w:tcPr>
          <w:p w14:paraId="34B575C2" w14:textId="3547C0AA" w:rsidR="003F37F6" w:rsidRDefault="003F37F6" w:rsidP="003F37F6">
            <w:r>
              <w:t>Lottie Pike (KCL)</w:t>
            </w:r>
          </w:p>
        </w:tc>
        <w:tc>
          <w:tcPr>
            <w:tcW w:w="3005" w:type="dxa"/>
          </w:tcPr>
          <w:p w14:paraId="307366CC" w14:textId="4E120C31" w:rsidR="003F37F6" w:rsidRDefault="003061BA" w:rsidP="003F37F6">
            <w:r>
              <w:t>‘Whether the mind of one creature can perceive the mind of another creature’: Margaret Cavendish on the perceptibility of mental states</w:t>
            </w:r>
          </w:p>
        </w:tc>
        <w:tc>
          <w:tcPr>
            <w:tcW w:w="3006" w:type="dxa"/>
          </w:tcPr>
          <w:p w14:paraId="563B7959" w14:textId="2F02C5FA" w:rsidR="003F37F6" w:rsidRDefault="003061BA" w:rsidP="003F37F6">
            <w:r>
              <w:t>Dr Timothy Stoll</w:t>
            </w:r>
          </w:p>
        </w:tc>
      </w:tr>
      <w:tr w:rsidR="003F37F6" w14:paraId="32F237B8" w14:textId="77777777" w:rsidTr="003F37F6">
        <w:tc>
          <w:tcPr>
            <w:tcW w:w="3005" w:type="dxa"/>
          </w:tcPr>
          <w:p w14:paraId="3CA9648B" w14:textId="159BE5DC" w:rsidR="003F37F6" w:rsidRDefault="003061BA" w:rsidP="003F37F6">
            <w:r>
              <w:t>Michiel Esseling (University of Antwerp)</w:t>
            </w:r>
          </w:p>
        </w:tc>
        <w:tc>
          <w:tcPr>
            <w:tcW w:w="3005" w:type="dxa"/>
          </w:tcPr>
          <w:p w14:paraId="4982F3B9" w14:textId="06F6FF5B" w:rsidR="003F37F6" w:rsidRDefault="003061BA" w:rsidP="003F37F6">
            <w:r>
              <w:t>Practical Knowledge as Pre-Reflective Awareness</w:t>
            </w:r>
          </w:p>
        </w:tc>
        <w:tc>
          <w:tcPr>
            <w:tcW w:w="3006" w:type="dxa"/>
          </w:tcPr>
          <w:p w14:paraId="3FCCE822" w14:textId="1741C2C9" w:rsidR="003F37F6" w:rsidRDefault="003061BA" w:rsidP="003F37F6">
            <w:r>
              <w:t>Dr Lucy Campbell</w:t>
            </w:r>
          </w:p>
        </w:tc>
      </w:tr>
    </w:tbl>
    <w:p w14:paraId="677F2BD4" w14:textId="77777777" w:rsidR="00AA7563" w:rsidRDefault="00AA7563">
      <w:r>
        <w:br w:type="page"/>
      </w:r>
    </w:p>
    <w:tbl>
      <w:tblPr>
        <w:tblStyle w:val="TableGrid"/>
        <w:tblpPr w:leftFromText="180" w:rightFromText="180" w:vertAnchor="text" w:horzAnchor="margin" w:tblpY="-13"/>
        <w:tblW w:w="0" w:type="auto"/>
        <w:tblLook w:val="04A0" w:firstRow="1" w:lastRow="0" w:firstColumn="1" w:lastColumn="0" w:noHBand="0" w:noVBand="1"/>
      </w:tblPr>
      <w:tblGrid>
        <w:gridCol w:w="3005"/>
        <w:gridCol w:w="3005"/>
        <w:gridCol w:w="3006"/>
      </w:tblGrid>
      <w:tr w:rsidR="003F37F6" w14:paraId="4963C486" w14:textId="77777777" w:rsidTr="003F37F6">
        <w:tc>
          <w:tcPr>
            <w:tcW w:w="3005" w:type="dxa"/>
          </w:tcPr>
          <w:p w14:paraId="11505FBE" w14:textId="5B4E577D" w:rsidR="003F37F6" w:rsidRDefault="003061BA" w:rsidP="003F37F6">
            <w:r>
              <w:lastRenderedPageBreak/>
              <w:t>Eve Poirier (University of Oxford)</w:t>
            </w:r>
          </w:p>
        </w:tc>
        <w:tc>
          <w:tcPr>
            <w:tcW w:w="3005" w:type="dxa"/>
          </w:tcPr>
          <w:p w14:paraId="5375C3F4" w14:textId="5A847E96" w:rsidR="003F37F6" w:rsidRDefault="003061BA" w:rsidP="003F37F6">
            <w:r>
              <w:t>What can I intend to do?</w:t>
            </w:r>
          </w:p>
        </w:tc>
        <w:tc>
          <w:tcPr>
            <w:tcW w:w="3006" w:type="dxa"/>
          </w:tcPr>
          <w:p w14:paraId="67EB4FDD" w14:textId="63AA90E2" w:rsidR="003F37F6" w:rsidRDefault="003061BA" w:rsidP="003F37F6">
            <w:r>
              <w:t>Professor Guy Longworth</w:t>
            </w:r>
          </w:p>
        </w:tc>
      </w:tr>
      <w:tr w:rsidR="003F37F6" w14:paraId="5F8A15E9" w14:textId="77777777" w:rsidTr="003F37F6">
        <w:tc>
          <w:tcPr>
            <w:tcW w:w="3005" w:type="dxa"/>
          </w:tcPr>
          <w:p w14:paraId="13773075" w14:textId="788CE1DB" w:rsidR="003F37F6" w:rsidRDefault="003061BA" w:rsidP="003F37F6">
            <w:r>
              <w:t>Andrew Ma (University of Cambridge)</w:t>
            </w:r>
          </w:p>
        </w:tc>
        <w:tc>
          <w:tcPr>
            <w:tcW w:w="3005" w:type="dxa"/>
          </w:tcPr>
          <w:p w14:paraId="5E8AC1EF" w14:textId="56720997" w:rsidR="003F37F6" w:rsidRDefault="003061BA" w:rsidP="003F37F6">
            <w:r>
              <w:t>Having the courage of one’s intentions</w:t>
            </w:r>
          </w:p>
        </w:tc>
        <w:tc>
          <w:tcPr>
            <w:tcW w:w="3006" w:type="dxa"/>
          </w:tcPr>
          <w:p w14:paraId="0C3EC7F7" w14:textId="369F2F2C" w:rsidR="003F37F6" w:rsidRDefault="003061BA" w:rsidP="003F37F6">
            <w:r>
              <w:t>Dr Nadine Elzein and Professor Christoph Hoerl</w:t>
            </w:r>
          </w:p>
        </w:tc>
      </w:tr>
      <w:tr w:rsidR="003061BA" w14:paraId="789C94F0" w14:textId="77777777" w:rsidTr="003F37F6">
        <w:tc>
          <w:tcPr>
            <w:tcW w:w="3005" w:type="dxa"/>
          </w:tcPr>
          <w:p w14:paraId="36C14015" w14:textId="58FE10A5" w:rsidR="003061BA" w:rsidRDefault="003061BA" w:rsidP="003F37F6">
            <w:r>
              <w:t>Jacob Mortimer (University of Oxford)</w:t>
            </w:r>
          </w:p>
        </w:tc>
        <w:tc>
          <w:tcPr>
            <w:tcW w:w="3005" w:type="dxa"/>
          </w:tcPr>
          <w:p w14:paraId="2EC42638" w14:textId="0C6FD942" w:rsidR="003061BA" w:rsidRDefault="003061BA" w:rsidP="003F37F6">
            <w:r>
              <w:t>Who is reborn? The origin of a conceptual tenstion in Buddhist Philosophy</w:t>
            </w:r>
          </w:p>
        </w:tc>
        <w:tc>
          <w:tcPr>
            <w:tcW w:w="3006" w:type="dxa"/>
          </w:tcPr>
          <w:p w14:paraId="35FAFBD9" w14:textId="773358AC" w:rsidR="003061BA" w:rsidRDefault="003061BA" w:rsidP="003F37F6">
            <w:r>
              <w:t>Professor Tom Crowther</w:t>
            </w:r>
          </w:p>
        </w:tc>
      </w:tr>
    </w:tbl>
    <w:p w14:paraId="16D57DFE" w14:textId="77777777" w:rsidR="003061BA" w:rsidRDefault="003061BA"/>
    <w:p w14:paraId="5426A217" w14:textId="38BE01E7" w:rsidR="00224FA4" w:rsidRDefault="00224FA4">
      <w:r>
        <w:t>There were approximately 50 attendees on each day of the conference</w:t>
      </w:r>
      <w:r w:rsidR="00CF7542">
        <w:t>, including members of staff, graduate students and undergraduate students at the University of Warwick, and non-speaker attendees from universities across the UK and Europe</w:t>
      </w:r>
      <w:r>
        <w:t xml:space="preserve">. On each day four papers were presented. </w:t>
      </w:r>
      <w:r w:rsidR="00CF7542">
        <w:t>Speakers were given 45 minutes to present their paper, with a 15-minute response and 30-minute Q+A after each talk. M</w:t>
      </w:r>
      <w:r>
        <w:t>any of these discussion</w:t>
      </w:r>
      <w:r w:rsidR="00CF7542">
        <w:t>s started during the Q+A</w:t>
      </w:r>
      <w:r>
        <w:t xml:space="preserve"> were then continued in the more informal lunch and coffee breaks. </w:t>
      </w:r>
    </w:p>
    <w:p w14:paraId="1A0F2760" w14:textId="77777777" w:rsidR="00CF7542" w:rsidRDefault="00CF7542"/>
    <w:p w14:paraId="39DFD49B" w14:textId="2F87B641" w:rsidR="00CF7542" w:rsidRDefault="00CF7542">
      <w:r>
        <w:t>On the Saturday evening, a</w:t>
      </w:r>
      <w:r w:rsidR="00B62339">
        <w:t xml:space="preserve"> drinks reception and</w:t>
      </w:r>
      <w:r>
        <w:t xml:space="preserve"> conference dinner was held for all speakers and respondents</w:t>
      </w:r>
      <w:r w:rsidR="00B62339">
        <w:t xml:space="preserve"> at the Ramphal Building</w:t>
      </w:r>
      <w:r>
        <w:t xml:space="preserve">. This gave graduate students the opportunity to form social and professional connections with other graduate students and established academics working in similar areas to them. It also allowed for further informal discussion of the papers presented and ideas raised in the conference talks. </w:t>
      </w:r>
    </w:p>
    <w:p w14:paraId="4855628F" w14:textId="77777777" w:rsidR="003E77C3" w:rsidRDefault="003E77C3"/>
    <w:p w14:paraId="00532B23" w14:textId="65B9117B" w:rsidR="003E77C3" w:rsidRDefault="003E77C3">
      <w:r>
        <w:t>One of the objectives of the conference was to give graduate students the opportunity to develop contacts with others working in psychology and philosophy of mind and action at different stages of their careers, and to foster a stronger community among graduate students working in these areas. This objective was successfully met, with many graduate attendees finding connections between their work and that of others</w:t>
      </w:r>
      <w:r w:rsidR="00883E86">
        <w:t>. Many graduate students shared</w:t>
      </w:r>
      <w:r>
        <w:t xml:space="preserve"> papers relevant to their graduate research, discuss</w:t>
      </w:r>
      <w:r w:rsidR="00883E86">
        <w:t>ed</w:t>
      </w:r>
      <w:r>
        <w:t xml:space="preserve"> that research in depth, and develop</w:t>
      </w:r>
      <w:r w:rsidR="00883E86">
        <w:t>ed</w:t>
      </w:r>
      <w:r>
        <w:t xml:space="preserve"> plans to remain in contact and continue those discussions after the conference was over. </w:t>
      </w:r>
    </w:p>
    <w:p w14:paraId="768257F3" w14:textId="77777777" w:rsidR="003E77C3" w:rsidRDefault="003E77C3"/>
    <w:p w14:paraId="548FEDEE" w14:textId="4B5A3C11" w:rsidR="008F7E89" w:rsidRDefault="003E77C3">
      <w:r>
        <w:t>Another objective was to mark MindGrad’s 20</w:t>
      </w:r>
      <w:r w:rsidRPr="003E77C3">
        <w:rPr>
          <w:vertAlign w:val="superscript"/>
        </w:rPr>
        <w:t>th</w:t>
      </w:r>
      <w:r>
        <w:t xml:space="preserve"> iteration by celebrating its past speakers and the broad range of topics currently under consideration in psychology and the philosophy of mind and action. To achieve </w:t>
      </w:r>
      <w:r w:rsidR="008F7E89">
        <w:t xml:space="preserve">the first part of </w:t>
      </w:r>
      <w:r>
        <w:t xml:space="preserve">this objective we firstly drew our keynote speakers from past speakers at MindGrad. This not only celebrated those speakers’ </w:t>
      </w:r>
      <w:r w:rsidR="008F7E89">
        <w:t xml:space="preserve">current and previous </w:t>
      </w:r>
      <w:r>
        <w:t>work, but also served to demonstrate to current graduate speakers the career progressio</w:t>
      </w:r>
      <w:r w:rsidR="008F7E89">
        <w:t xml:space="preserve">n of previous graduate speakers. In a speech at the conference dinner, Professor Naomi Eilan highlighted the achievements of the keynotes and the </w:t>
      </w:r>
      <w:r w:rsidR="00883E86">
        <w:t>years in</w:t>
      </w:r>
      <w:r w:rsidR="008F7E89">
        <w:t xml:space="preserve"> which </w:t>
      </w:r>
      <w:r w:rsidR="00883E86">
        <w:t>Dr Jessie Munton and Dr Rory Madden</w:t>
      </w:r>
      <w:r w:rsidR="008F7E89">
        <w:t xml:space="preserve"> had previously presented</w:t>
      </w:r>
      <w:r w:rsidR="00883E86">
        <w:t xml:space="preserve"> as graduate speakers</w:t>
      </w:r>
      <w:r w:rsidR="008F7E89">
        <w:t xml:space="preserve">. Keynote speakers also spoke informally with many graduate students about their careers and the options available to them. To achieve the second part of this objective, conference organisers selected papers which covered a whole spectrum of issues in psychology and philosophy of mind and action, including how these issues might interact with topics in history of philosophy and Buddhist philosophy. All papers chosen resulted in a lively debate, and attendees gained a greater appreciation of the breadth of topics covered in these areas. </w:t>
      </w:r>
    </w:p>
    <w:p w14:paraId="50EAEDCA" w14:textId="77777777" w:rsidR="003C6220" w:rsidRDefault="003C6220"/>
    <w:p w14:paraId="2B31669E" w14:textId="1CE46CA4" w:rsidR="003C6220" w:rsidRDefault="003C6220">
      <w:r>
        <w:lastRenderedPageBreak/>
        <w:t xml:space="preserve">We were grateful to receive funding for MindGrad from the </w:t>
      </w:r>
      <w:r w:rsidR="00AA7563">
        <w:t xml:space="preserve">University of Warwick </w:t>
      </w:r>
      <w:r>
        <w:t xml:space="preserve">Humanities Research Centre, alongside the Royal Institute of Philosophy, the Aristotelian Society, the Society of Women in Philosophy UK, and the University of Warwick Philosophy department. This funding allowed us to cover travel, accommodation and food for all graduate speakers and keynotes who needed it. </w:t>
      </w:r>
    </w:p>
    <w:sectPr w:rsidR="003C622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4FA4"/>
    <w:rsid w:val="0000540D"/>
    <w:rsid w:val="00026C46"/>
    <w:rsid w:val="0006086C"/>
    <w:rsid w:val="0006761A"/>
    <w:rsid w:val="000A3267"/>
    <w:rsid w:val="000D5AB4"/>
    <w:rsid w:val="000E2834"/>
    <w:rsid w:val="00113C6A"/>
    <w:rsid w:val="0014296C"/>
    <w:rsid w:val="00182B00"/>
    <w:rsid w:val="001D22F6"/>
    <w:rsid w:val="00224FA4"/>
    <w:rsid w:val="0023102E"/>
    <w:rsid w:val="00235F26"/>
    <w:rsid w:val="00237510"/>
    <w:rsid w:val="00267A60"/>
    <w:rsid w:val="002F63BF"/>
    <w:rsid w:val="003061BA"/>
    <w:rsid w:val="003B7629"/>
    <w:rsid w:val="003C6220"/>
    <w:rsid w:val="003E77C3"/>
    <w:rsid w:val="003F37F6"/>
    <w:rsid w:val="00400CED"/>
    <w:rsid w:val="0040347F"/>
    <w:rsid w:val="004C29C7"/>
    <w:rsid w:val="00514FC4"/>
    <w:rsid w:val="00515B8B"/>
    <w:rsid w:val="00562C3A"/>
    <w:rsid w:val="00594E5F"/>
    <w:rsid w:val="005F2A8D"/>
    <w:rsid w:val="005F737A"/>
    <w:rsid w:val="00607451"/>
    <w:rsid w:val="006774F1"/>
    <w:rsid w:val="00681F17"/>
    <w:rsid w:val="006D21AB"/>
    <w:rsid w:val="006F0FB5"/>
    <w:rsid w:val="00700931"/>
    <w:rsid w:val="007D7284"/>
    <w:rsid w:val="00805E31"/>
    <w:rsid w:val="00846643"/>
    <w:rsid w:val="008477E3"/>
    <w:rsid w:val="00883E86"/>
    <w:rsid w:val="008F2BA7"/>
    <w:rsid w:val="008F7E89"/>
    <w:rsid w:val="00917530"/>
    <w:rsid w:val="00931BD0"/>
    <w:rsid w:val="00945B7D"/>
    <w:rsid w:val="00946149"/>
    <w:rsid w:val="009B77EB"/>
    <w:rsid w:val="009C46E6"/>
    <w:rsid w:val="009F29DB"/>
    <w:rsid w:val="00A32628"/>
    <w:rsid w:val="00A466FA"/>
    <w:rsid w:val="00AA7563"/>
    <w:rsid w:val="00B62339"/>
    <w:rsid w:val="00BB252F"/>
    <w:rsid w:val="00BC73A1"/>
    <w:rsid w:val="00C35E22"/>
    <w:rsid w:val="00C72D50"/>
    <w:rsid w:val="00C929C6"/>
    <w:rsid w:val="00CC2F22"/>
    <w:rsid w:val="00CE7AE6"/>
    <w:rsid w:val="00CF7542"/>
    <w:rsid w:val="00D117C6"/>
    <w:rsid w:val="00D81D02"/>
    <w:rsid w:val="00DC6B9E"/>
    <w:rsid w:val="00E1322B"/>
    <w:rsid w:val="00E55EE9"/>
    <w:rsid w:val="00E57BDD"/>
    <w:rsid w:val="00E57D63"/>
    <w:rsid w:val="00E6315E"/>
    <w:rsid w:val="00E66031"/>
    <w:rsid w:val="00E8161C"/>
    <w:rsid w:val="00F34880"/>
    <w:rsid w:val="00F352A9"/>
    <w:rsid w:val="00F6145D"/>
    <w:rsid w:val="00FC2457"/>
    <w:rsid w:val="00FD00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233007"/>
  <w15:chartTrackingRefBased/>
  <w15:docId w15:val="{4D4A9459-001B-9B4C-BCEF-D3DD26856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24F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24F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24F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24F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24F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24FA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24FA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24FA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24FA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4F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24F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24F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24F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24F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24F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24F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24F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24FA4"/>
    <w:rPr>
      <w:rFonts w:eastAsiaTheme="majorEastAsia" w:cstheme="majorBidi"/>
      <w:color w:val="272727" w:themeColor="text1" w:themeTint="D8"/>
    </w:rPr>
  </w:style>
  <w:style w:type="paragraph" w:styleId="Title">
    <w:name w:val="Title"/>
    <w:basedOn w:val="Normal"/>
    <w:next w:val="Normal"/>
    <w:link w:val="TitleChar"/>
    <w:uiPriority w:val="10"/>
    <w:qFormat/>
    <w:rsid w:val="00224FA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24F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24FA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24F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24FA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24FA4"/>
    <w:rPr>
      <w:i/>
      <w:iCs/>
      <w:color w:val="404040" w:themeColor="text1" w:themeTint="BF"/>
    </w:rPr>
  </w:style>
  <w:style w:type="paragraph" w:styleId="ListParagraph">
    <w:name w:val="List Paragraph"/>
    <w:basedOn w:val="Normal"/>
    <w:uiPriority w:val="34"/>
    <w:qFormat/>
    <w:rsid w:val="00224FA4"/>
    <w:pPr>
      <w:ind w:left="720"/>
      <w:contextualSpacing/>
    </w:pPr>
  </w:style>
  <w:style w:type="character" w:styleId="IntenseEmphasis">
    <w:name w:val="Intense Emphasis"/>
    <w:basedOn w:val="DefaultParagraphFont"/>
    <w:uiPriority w:val="21"/>
    <w:qFormat/>
    <w:rsid w:val="00224FA4"/>
    <w:rPr>
      <w:i/>
      <w:iCs/>
      <w:color w:val="0F4761" w:themeColor="accent1" w:themeShade="BF"/>
    </w:rPr>
  </w:style>
  <w:style w:type="paragraph" w:styleId="IntenseQuote">
    <w:name w:val="Intense Quote"/>
    <w:basedOn w:val="Normal"/>
    <w:next w:val="Normal"/>
    <w:link w:val="IntenseQuoteChar"/>
    <w:uiPriority w:val="30"/>
    <w:qFormat/>
    <w:rsid w:val="00224F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24FA4"/>
    <w:rPr>
      <w:i/>
      <w:iCs/>
      <w:color w:val="0F4761" w:themeColor="accent1" w:themeShade="BF"/>
    </w:rPr>
  </w:style>
  <w:style w:type="character" w:styleId="IntenseReference">
    <w:name w:val="Intense Reference"/>
    <w:basedOn w:val="DefaultParagraphFont"/>
    <w:uiPriority w:val="32"/>
    <w:qFormat/>
    <w:rsid w:val="00224FA4"/>
    <w:rPr>
      <w:b/>
      <w:bCs/>
      <w:smallCaps/>
      <w:color w:val="0F4761" w:themeColor="accent1" w:themeShade="BF"/>
      <w:spacing w:val="5"/>
    </w:rPr>
  </w:style>
  <w:style w:type="table" w:styleId="TableGrid">
    <w:name w:val="Table Grid"/>
    <w:basedOn w:val="TableNormal"/>
    <w:uiPriority w:val="39"/>
    <w:rsid w:val="00224F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951</Words>
  <Characters>5224</Characters>
  <Application>Microsoft Office Word</Application>
  <DocSecurity>0</DocSecurity>
  <Lines>127</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BOOCOCK, EMILY (PGR)</dc:creator>
  <cp:keywords/>
  <dc:description/>
  <cp:lastModifiedBy>Rae, Sue</cp:lastModifiedBy>
  <cp:revision>2</cp:revision>
  <dcterms:created xsi:type="dcterms:W3CDTF">2026-03-09T16:44:00Z</dcterms:created>
  <dcterms:modified xsi:type="dcterms:W3CDTF">2026-03-09T16:44:00Z</dcterms:modified>
</cp:coreProperties>
</file>