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F5E" w:rsidRDefault="003C1F5E" w:rsidP="003C1F5E">
      <w:pPr>
        <w:jc w:val="center"/>
        <w:rPr>
          <w:b/>
        </w:rPr>
      </w:pPr>
      <w:r>
        <w:rPr>
          <w:b/>
        </w:rPr>
        <w:t>HRC Visiting Speakers Fund - MindGrad 2017 Conference Report</w:t>
      </w:r>
    </w:p>
    <w:p w:rsidR="003C1F5E" w:rsidRDefault="003C1F5E" w:rsidP="003C1F5E">
      <w:r>
        <w:t>Below is a fully detailed conference report for MindGrad 2017. In a separate file I include a shorter report for the purposes of HRC newsletters. I have also copied the final financial report into this document. As shall be clear, the money spent on Professor Stroud’s travel exceeded the £500 grant we received for HRC. This means that the full amount we received was instrumental in our success in securing one of the most esteemed philosophers working in the field today.</w:t>
      </w:r>
    </w:p>
    <w:p w:rsidR="003C1F5E" w:rsidRDefault="003C1F5E" w:rsidP="003C1F5E">
      <w:pPr>
        <w:rPr>
          <w:b/>
        </w:rPr>
      </w:pPr>
      <w:r>
        <w:rPr>
          <w:b/>
        </w:rPr>
        <w:t>MindGrad Organising Committee</w:t>
      </w:r>
    </w:p>
    <w:p w:rsidR="003C1F5E" w:rsidRDefault="003C1F5E" w:rsidP="003C1F5E">
      <w:r>
        <w:t>Johannes Heemskerk (MPhil Student)</w:t>
      </w:r>
      <w:r>
        <w:br/>
        <w:t>James Brown (MPhil Student)</w:t>
      </w:r>
    </w:p>
    <w:p w:rsidR="00C953BC" w:rsidRDefault="00C953BC" w:rsidP="003C1F5E">
      <w:pPr>
        <w:rPr>
          <w:b/>
        </w:rPr>
      </w:pPr>
      <w:r>
        <w:rPr>
          <w:b/>
        </w:rPr>
        <w:t>Contact Details</w:t>
      </w:r>
    </w:p>
    <w:p w:rsidR="00C953BC" w:rsidRDefault="00C953BC" w:rsidP="003C1F5E">
      <w:r>
        <w:t xml:space="preserve">email: </w:t>
      </w:r>
      <w:hyperlink r:id="rId4" w:history="1">
        <w:r w:rsidRPr="007C59D1">
          <w:rPr>
            <w:rStyle w:val="Hyperlink"/>
          </w:rPr>
          <w:t>j.heemskerk@warwick.ac.uk</w:t>
        </w:r>
      </w:hyperlink>
      <w:r>
        <w:br/>
        <w:t>Phone: 07530799062</w:t>
      </w:r>
    </w:p>
    <w:p w:rsidR="00C953BC" w:rsidRPr="00C953BC" w:rsidRDefault="00C953BC" w:rsidP="003C1F5E"/>
    <w:p w:rsidR="003C1F5E" w:rsidRPr="00C953BC" w:rsidRDefault="003C1F5E" w:rsidP="003C1F5E">
      <w:pPr>
        <w:rPr>
          <w:b/>
        </w:rPr>
      </w:pPr>
      <w:r w:rsidRPr="00C953BC">
        <w:rPr>
          <w:b/>
        </w:rPr>
        <w:t>Assessment</w:t>
      </w:r>
    </w:p>
    <w:p w:rsidR="003C1F5E" w:rsidRDefault="003C1F5E" w:rsidP="003C1F5E">
      <w:r>
        <w:t xml:space="preserve">We believe that this years’ MindGrad conference succeeded in its key aims. From the philosophical perspective, the content of the talks was of a very high calibre. We received submissions from all over the world, and we were able to secure engaging and thought-provoking speakers. The talks by these graduate speakers concerned topics which spanned the broad remit of Philosophy of Mind as we had hoped. We had talks which ranged from technical discussions of </w:t>
      </w:r>
      <w:proofErr w:type="spellStart"/>
      <w:r>
        <w:t>Russellian</w:t>
      </w:r>
      <w:proofErr w:type="spellEnd"/>
      <w:r>
        <w:t xml:space="preserve"> acquaintance to contemporary debates about the functional role of emotions. This meant that the audience, whatever their research interests, were exposed to material they were not overly familiar with in an accessible but rigorous way. Responses from members of the audience and Warwick staff were invaluable to exploring ideas in an open and welcoming environment. Additionally, the talks from the keynotes were exciting in their originality and their fruitful c</w:t>
      </w:r>
      <w:r w:rsidR="00C953BC">
        <w:t>ontinuation of ongoing debates.</w:t>
      </w:r>
    </w:p>
    <w:p w:rsidR="003C1F5E" w:rsidRDefault="003C1F5E" w:rsidP="003C1F5E">
      <w:r>
        <w:t>The surrounding social events also brought a sense of community to the conference. We were happy to be able to offer lunch and coffee in a light, spacious environment so attendees felt free to approach conversations with graduate speakers, keynotes and members of staff. This led to conversations and discussions spilling over into the breaks in a natural way. This had the benefit of providing those speakers who may have felt uncomfortable raising questions in the more formal conference environment with an opportunity to discuss the talk further with other attendees and the speakers themselves. We are particularly proud of the conference dinner, which took place in the small town of Kenilworth in a private room. This dinner had a relaxed atmosphere and was a great opportunity for attendees and speakers to bond further, hopefully creating lasting working relationship</w:t>
      </w:r>
      <w:r w:rsidR="00C953BC">
        <w:t>s beyond the conference itself.</w:t>
      </w:r>
    </w:p>
    <w:p w:rsidR="003C1F5E" w:rsidRDefault="003C1F5E" w:rsidP="003C1F5E">
      <w:r>
        <w:t>We feel that the number of attendees was good, and represented a slight improvement on last year. We had taken measures to advertise the conference to as many interested parties as possible. We engaged in an on-campus poster campaign, sent posters out to all nearby Universities, and took the usual steps (such as emails, social media, and word-of-mouth) to draw attention to the conference. We believe these measures were successful and the relatively large number of attendees insured that we had a wide range of perspectives</w:t>
      </w:r>
      <w:r w:rsidR="00510F3F">
        <w:t xml:space="preserve"> represented at the conference.</w:t>
      </w:r>
    </w:p>
    <w:p w:rsidR="00510F3F" w:rsidRDefault="00510F3F" w:rsidP="003C1F5E"/>
    <w:p w:rsidR="00510F3F" w:rsidRDefault="00510F3F" w:rsidP="00510F3F">
      <w:r>
        <w:lastRenderedPageBreak/>
        <w:t>When organising MindGrad we endeavoured ensure that the conference was as inclusive as possible. In order to do this, we took the British Philosophical Association/Society for Women in Philosophy Good Practice Scheme into consideration during various stages, and sought to create MindGrad in full compliance with the scheme. These stages included:</w:t>
      </w:r>
    </w:p>
    <w:p w:rsidR="00510F3F" w:rsidRDefault="00510F3F" w:rsidP="00510F3F">
      <w:r w:rsidRPr="00084214">
        <w:rPr>
          <w:b/>
        </w:rPr>
        <w:t>1. Keynote Speakers.</w:t>
      </w:r>
      <w:r>
        <w:t xml:space="preserve"> When choosing which keynote speakers to invite to MindGrad, we consciously chose to invite at least one woman. This was because we knew as organisers that we were susceptible to the widely recognised phenomenon of non-conscious bias, and we wished to counteract this effect in at least this area. We also made sure not to discriminate on the basis of the institutions in which the keynotes were based, recognising that the perceived prestige of an institution does not necessarily reflect either the relevance or the quality of the work for the purposes of MindGrad. We feel that these decisions ultimately lead to an improvement over what would have been the case were we to uncritically select speakers on the basis of unrecognised biases, since we instead focused on the quality of the work and the overall thematic structure of the conference that we wanted to create. Of course, we recognise that philosophy as a discipline has some way to go before it reflects the full diversity of society at large, but we believe that the steps we have taken in this area go ve</w:t>
      </w:r>
      <w:r w:rsidR="00084214">
        <w:t>ry much in the right direction.</w:t>
      </w:r>
    </w:p>
    <w:p w:rsidR="00510F3F" w:rsidRDefault="00510F3F" w:rsidP="00510F3F">
      <w:r w:rsidRPr="00084214">
        <w:rPr>
          <w:b/>
        </w:rPr>
        <w:t xml:space="preserve">2. Graduate Speakers. </w:t>
      </w:r>
      <w:r>
        <w:t>We followed the BPA/</w:t>
      </w:r>
      <w:proofErr w:type="spellStart"/>
      <w:r>
        <w:t>SWiP</w:t>
      </w:r>
      <w:proofErr w:type="spellEnd"/>
      <w:r>
        <w:t xml:space="preserve"> guidelines when collecting and choosing graduate papers. The call for papers was widely distributed across several mailing lists, philevents and on social media, ensuring as many members of the graduate community as possible would be made aware. Submissions from women and other minorities was specifically encouraged. Additionally, all submissions were anonymised and a shortlist was compiled on the basis of a double review by staff members within the Warwick philosophy department. Once this shortlist was complete we then selected with the BPA/</w:t>
      </w:r>
      <w:proofErr w:type="spellStart"/>
      <w:r>
        <w:t>SWiP</w:t>
      </w:r>
      <w:proofErr w:type="spellEnd"/>
      <w:r>
        <w:t xml:space="preserve"> guidelines in mind. The eventual result was that almost one half (three out of eight) of the speakers were female, and while we recognise that there is progress to be made, we believe this result is once again</w:t>
      </w:r>
      <w:r w:rsidR="00084214">
        <w:t xml:space="preserve"> a step in the right direction.</w:t>
      </w:r>
    </w:p>
    <w:p w:rsidR="00510F3F" w:rsidRDefault="00510F3F" w:rsidP="00510F3F">
      <w:r>
        <w:t>We had no speakers turn down the invitation due to financial costs. This indicates that finance was not a barrier to entry to anyone who would have otherwise been accepted on the merit of their submission. As in previous years, we remain committed to the principle that there should be no barriers to entry other than the quality of the paper submitted. This includes not only financial barriers but any which are non-academic. We feel that in following the BPA/</w:t>
      </w:r>
      <w:proofErr w:type="spellStart"/>
      <w:r>
        <w:t>SWiP</w:t>
      </w:r>
      <w:proofErr w:type="spellEnd"/>
      <w:r>
        <w:t xml:space="preserve"> guidelines this c</w:t>
      </w:r>
      <w:r w:rsidR="00084214">
        <w:t>ommitment can be best realised.</w:t>
      </w:r>
    </w:p>
    <w:p w:rsidR="00510F3F" w:rsidRDefault="00510F3F" w:rsidP="00510F3F">
      <w:r w:rsidRPr="00084214">
        <w:rPr>
          <w:b/>
        </w:rPr>
        <w:t>3. Attendees.</w:t>
      </w:r>
      <w:r>
        <w:t xml:space="preserve"> We put out several calls for registration across multiple platforms. This technique was successful, as we had participants from a wide variety of universities, both within the UK and outside. There were attendees who had only heard of the conference via these advertising channels, which speaks to their success. We intended these calls for registration to attract as many diverse attendees as possible, and </w:t>
      </w:r>
      <w:r w:rsidR="00084214">
        <w:t>we believe this was the result.</w:t>
      </w:r>
    </w:p>
    <w:p w:rsidR="00510F3F" w:rsidRDefault="00510F3F" w:rsidP="00510F3F">
      <w:r w:rsidRPr="00084214">
        <w:rPr>
          <w:b/>
        </w:rPr>
        <w:t xml:space="preserve">4. During the event. </w:t>
      </w:r>
      <w:r>
        <w:t>We made sure the conference was as welcoming and accessible as possible. We ensured that we booked a room which was accessible to those with disabilities. The atmosphere was inclusive and kind, and each of our chairs were instructed to take into consideration the ‘seminar chairing’ policy to create an organised and civil discussion. These measures enabled us to accommodate as well as possible those who might otherwise have felt uncomfortable. Reflecting this, we received positive feedback from attendees and speakers alike.</w:t>
      </w:r>
    </w:p>
    <w:p w:rsidR="007C3870" w:rsidRDefault="007C3870" w:rsidP="00510F3F"/>
    <w:p w:rsidR="007C3870" w:rsidRDefault="007C3870" w:rsidP="00510F3F"/>
    <w:p w:rsidR="007C3870" w:rsidRPr="007C3870" w:rsidRDefault="007C3870" w:rsidP="007C3870">
      <w:pPr>
        <w:rPr>
          <w:b/>
        </w:rPr>
      </w:pPr>
      <w:r>
        <w:rPr>
          <w:b/>
        </w:rPr>
        <w:lastRenderedPageBreak/>
        <w:t>How the Conference Aided Skills Development</w:t>
      </w:r>
    </w:p>
    <w:p w:rsidR="007C3870" w:rsidRDefault="007C3870" w:rsidP="007C3870">
      <w:r>
        <w:t>MindGrad is held in high esteem as a conference which offers quality talks from talented graduates and renowned philosophers. As a result, it is considered one of the most important annual graduate conferences in the UK, especially for philosophy of mind. As such, in addition to offering a platform for developing the research and professional skills of early-career researchers, having presented at MindGrad is widely recognised as a significant ach</w:t>
      </w:r>
      <w:r w:rsidR="00EA30DD">
        <w:t>ievement for graduate students.</w:t>
      </w:r>
    </w:p>
    <w:p w:rsidR="007C3870" w:rsidRDefault="007C3870" w:rsidP="007C3870">
      <w:r>
        <w:t xml:space="preserve">The graduate speakers were able to receive informed and constructive feedback from experts in the field from Warwick, other UK universities and overseas. This allowed the speakers to consider issues with their paper raised by intelligent audience comments and professionals in philosophy. This means that speakers have the opportunity to modify their papers in such </w:t>
      </w:r>
      <w:proofErr w:type="spellStart"/>
      <w:r>
        <w:t>as</w:t>
      </w:r>
      <w:proofErr w:type="spellEnd"/>
      <w:r>
        <w:t xml:space="preserve"> way as to maximise their</w:t>
      </w:r>
      <w:r w:rsidR="00EA30DD">
        <w:t xml:space="preserve"> chances of future publication.</w:t>
      </w:r>
    </w:p>
    <w:p w:rsidR="007C3870" w:rsidRDefault="007C3870" w:rsidP="007C3870">
      <w:r>
        <w:t>Attendees were able to develop important connections with individuals from global institutions, strengthening their awareness of others working at the highest level of the field and providing a network of support for future endeavours in philosophy of mind, for example philosophical collaborations. This benefit was available to all who attended, and we were happy to have many Warwick staff members, current and past students, and students</w:t>
      </w:r>
      <w:r w:rsidR="00EA30DD">
        <w:t xml:space="preserve"> from across the UK and abroad.</w:t>
      </w:r>
    </w:p>
    <w:p w:rsidR="007C3870" w:rsidRDefault="007C3870" w:rsidP="007C3870">
      <w:r>
        <w:t>The Warwick PhD students who responded to the talks by the keynote speakers gained valuable experience. They were able to directly engage with the work of established philosophers, providing an opportunity to not only demonstrate their critical and presentational skills, but encouraging the development of these skills due to the importance of the response. They were also able to gain experience with presenting challenges to professional philosophers in a public domain, a vital sk</w:t>
      </w:r>
      <w:r w:rsidR="00EA30DD">
        <w:t>ill in professional philosophy.</w:t>
      </w:r>
    </w:p>
    <w:p w:rsidR="007C3870" w:rsidRDefault="007C3870" w:rsidP="007C3870">
      <w:r>
        <w:t>MindGrad also provided the organising committee with the opportunity to develop many skills which will be vital in their ongoing philosophical careers. There were many intricate and sometimes difficult challenges involved in assuming primary responsibility for organising a premier two-day graduate conference. For example, we gained experience in writing funding applications, contacting various departments within the university to organise catering, accommodation and to book a room, communicating with established philosophers and graduate students, and organising reimbursements. All of these tasks, and more, demanded organised teamwork and communication.</w:t>
      </w:r>
    </w:p>
    <w:p w:rsidR="00510F3F" w:rsidRDefault="00510F3F" w:rsidP="003C1F5E"/>
    <w:p w:rsidR="007C3870" w:rsidRDefault="007C3870" w:rsidP="003C1F5E"/>
    <w:p w:rsidR="003C1F5E" w:rsidRPr="00C953BC" w:rsidRDefault="003C1F5E" w:rsidP="003C1F5E">
      <w:pPr>
        <w:rPr>
          <w:b/>
        </w:rPr>
      </w:pPr>
      <w:r w:rsidRPr="00C953BC">
        <w:rPr>
          <w:b/>
        </w:rPr>
        <w:t>Summary</w:t>
      </w:r>
    </w:p>
    <w:p w:rsidR="003C1F5E" w:rsidRPr="00C953BC" w:rsidRDefault="003C1F5E" w:rsidP="003C1F5E">
      <w:pPr>
        <w:rPr>
          <w:b/>
        </w:rPr>
      </w:pPr>
      <w:r w:rsidRPr="00C953BC">
        <w:rPr>
          <w:b/>
        </w:rPr>
        <w:t xml:space="preserve">Kris </w:t>
      </w:r>
      <w:proofErr w:type="spellStart"/>
      <w:r w:rsidRPr="00C953BC">
        <w:rPr>
          <w:b/>
        </w:rPr>
        <w:t>Goffin</w:t>
      </w:r>
      <w:proofErr w:type="spellEnd"/>
      <w:r w:rsidRPr="00C953BC">
        <w:rPr>
          <w:b/>
        </w:rPr>
        <w:t xml:space="preserve">: </w:t>
      </w:r>
      <w:r w:rsidRPr="00C953BC">
        <w:rPr>
          <w:b/>
          <w:i/>
        </w:rPr>
        <w:t>A Pragmatic Account of Emotional Representation</w:t>
      </w:r>
    </w:p>
    <w:p w:rsidR="003C1F5E" w:rsidRDefault="003C1F5E" w:rsidP="003C1F5E">
      <w:r>
        <w:t xml:space="preserve">Our emotional representations are prone to mislead. For example, we hear a twig crack in the woods and feel fear, but it was only the wind. Kris </w:t>
      </w:r>
      <w:proofErr w:type="spellStart"/>
      <w:r>
        <w:t>Goffin</w:t>
      </w:r>
      <w:proofErr w:type="spellEnd"/>
      <w:r>
        <w:t xml:space="preserve"> posed and answered the question: if emotional representations are so prone to mislead, what is their function? He argued that emotional representations serve to maximise true beliefs about the environment, as opposed to minimising false beliefs. In this sense, emotional representations are indeed useful and reliable. In order to establish this claim regarding reliability, Kris distinguished ‘Cartesian reliability’ from ‘</w:t>
      </w:r>
      <w:proofErr w:type="spellStart"/>
      <w:r>
        <w:t>Jamesian</w:t>
      </w:r>
      <w:proofErr w:type="spellEnd"/>
      <w:r>
        <w:t xml:space="preserve"> reliability’. The former states that when we believe p, the probability of p being false is low. The latter states that when p is true, the probability that we believe p is high. Emotional representations deliver </w:t>
      </w:r>
      <w:proofErr w:type="spellStart"/>
      <w:r>
        <w:t>Jamesian</w:t>
      </w:r>
      <w:proofErr w:type="spellEnd"/>
      <w:r>
        <w:t xml:space="preserve"> reliability. Our emotional representations are sensitive to very little evidence, and </w:t>
      </w:r>
      <w:r>
        <w:lastRenderedPageBreak/>
        <w:t>while they may overshoot and provide the false belief that p in the absence of p, given their sensitivity they are likely to provide a true belief that p if p is true. For example, while the cracking twig may not be caused by a dangerous predator, we will in any case come to believe that it does due to our sensitive emotional response. Thus, if there really is a dangerous predator in the vicinity, our emotional representations will reliably lead us to believe as much. Kris pointed out that this has clear benefits for survival. Questions included worries about how empirically grounded the claim that emotions lead us to true beliefs was (also the claim that emotions do fail Cartesian reliability), and to what extent we could ascribe fine-grained representational content to emotions.</w:t>
      </w:r>
    </w:p>
    <w:p w:rsidR="003C1F5E" w:rsidRDefault="003C1F5E" w:rsidP="003C1F5E"/>
    <w:p w:rsidR="003C1F5E" w:rsidRPr="00C953BC" w:rsidRDefault="003C1F5E" w:rsidP="003C1F5E">
      <w:pPr>
        <w:rPr>
          <w:b/>
        </w:rPr>
      </w:pPr>
      <w:r w:rsidRPr="00C953BC">
        <w:rPr>
          <w:b/>
        </w:rPr>
        <w:t xml:space="preserve">Michelle Liu: </w:t>
      </w:r>
      <w:r w:rsidRPr="00C953BC">
        <w:rPr>
          <w:b/>
          <w:i/>
        </w:rPr>
        <w:t>Colour, Qualia and Two Theses of Revelation</w:t>
      </w:r>
    </w:p>
    <w:p w:rsidR="003C1F5E" w:rsidRDefault="003C1F5E" w:rsidP="003C1F5E">
      <w:r>
        <w:t>Revelation is a thesis employed in both the debate concerning the nature of colour, and the debate surrounding the mind-body problem. Michelle Liu distinguished each of these theses and argued that only the latter poses a challenge to physicalism. First, she provided and explication of revelation-q. Michelle formulated this as, roughly, the thesis that when a subject has an experience with a quale Q, the subject can know a ‘phenomenal truth’ (Q is X) which is a proposition about the nature of Q (although this may prove difficult to put into words). This is the latter form of revelation, pertaining to the mind-body problem. It tells us that the nature of qualia is manifest to us in experience. Michelle then provided an account of revelation-c, which tells us that the nature of colours is revealed to us in our experience of colour. Michelle formulated revelation-c, roughly, as the thesis that when a subject has an experience of colour C, that subject can know a truth (C is Y) which is a proposition about the nature of C (although this may prove difficult to put into words). Michelle then argued that revelation-q is more intuitive than revelation-c. She argued for this in part by demonstrating that our ordinary linguistic practice is committed to revelation-q but not revelation-c. Michelle then argued that since revelation-q poses a problem for physicalism (because X is not a physical fact), we should maintain that it is revelation-q and not revelation-c that poses a problem for physicalism. Questions included the extent to which we could deduce metaphysical theses from observation of linguistic conventions, and whether we can so easily discount the intuitiveness of revelation-c.</w:t>
      </w:r>
    </w:p>
    <w:p w:rsidR="003C1F5E" w:rsidRDefault="003C1F5E" w:rsidP="003C1F5E"/>
    <w:p w:rsidR="003C1F5E" w:rsidRPr="00C953BC" w:rsidRDefault="003C1F5E" w:rsidP="003C1F5E">
      <w:pPr>
        <w:rPr>
          <w:b/>
        </w:rPr>
      </w:pPr>
      <w:r w:rsidRPr="00C953BC">
        <w:rPr>
          <w:b/>
        </w:rPr>
        <w:t xml:space="preserve">Michael </w:t>
      </w:r>
      <w:proofErr w:type="spellStart"/>
      <w:r w:rsidRPr="00C953BC">
        <w:rPr>
          <w:b/>
        </w:rPr>
        <w:t>Markunas</w:t>
      </w:r>
      <w:proofErr w:type="spellEnd"/>
      <w:r w:rsidRPr="00C953BC">
        <w:rPr>
          <w:b/>
        </w:rPr>
        <w:t xml:space="preserve">: </w:t>
      </w:r>
      <w:r w:rsidRPr="00C953BC">
        <w:rPr>
          <w:b/>
          <w:i/>
        </w:rPr>
        <w:t>On the Possibility of Acquaintance</w:t>
      </w:r>
    </w:p>
    <w:p w:rsidR="003C1F5E" w:rsidRDefault="003C1F5E" w:rsidP="003C1F5E">
      <w:r>
        <w:t xml:space="preserve">Michael’s talk focused on the notion of acquaintance, a resurgent notion in contemporary philosophy of mind and perception. Michael argues that </w:t>
      </w:r>
      <w:proofErr w:type="spellStart"/>
      <w:r>
        <w:t>Betrand</w:t>
      </w:r>
      <w:proofErr w:type="spellEnd"/>
      <w:r>
        <w:t xml:space="preserve"> Russell’s original thesis regarding the knowledge of things via acquaintance must be revised if it is to be put to use in contemporary debates. This is because, Michael maintains, there are reasons to doubt that Russell’s views on ‘intuitive knowledge’ and ‘the varieties of acquaintance’ license the claim that knowledge of things is logically independent of knowledge of truths. In particular, Michael asked what we could possibly be said to know on Russell’s account independently of judgments. He raises this issue for memory, and writes that Russell’s own handling of the issue seems to undermine the distinctions he draws between three forms of acquaintance. Ultimately, Michael concludes that if we wish to employ the notion of acquaintance in contemporary debates we must be more careful than Russell himself in spelling out precisely what acquaintance involves. Questions included asking Michael to clarify to what extent the </w:t>
      </w:r>
      <w:proofErr w:type="spellStart"/>
      <w:r>
        <w:t>Russellian</w:t>
      </w:r>
      <w:proofErr w:type="spellEnd"/>
      <w:r>
        <w:t xml:space="preserve"> issue is pertinent to contemporary debates, since many of these debates do not explicitly refer to Russell, nor do they seem to be committed to his use of the terminology. </w:t>
      </w:r>
      <w:r>
        <w:lastRenderedPageBreak/>
        <w:t xml:space="preserve">Further questions included asking for clarification on the case of memories by acquaintance, proposing alternative readings of the </w:t>
      </w:r>
      <w:proofErr w:type="spellStart"/>
      <w:r>
        <w:t>Russellian</w:t>
      </w:r>
      <w:proofErr w:type="spellEnd"/>
      <w:r>
        <w:t xml:space="preserve"> thesis that may present fewer problems.</w:t>
      </w:r>
    </w:p>
    <w:p w:rsidR="003C1F5E" w:rsidRDefault="003C1F5E" w:rsidP="003C1F5E"/>
    <w:p w:rsidR="003C1F5E" w:rsidRPr="00C953BC" w:rsidRDefault="003C1F5E" w:rsidP="003C1F5E">
      <w:pPr>
        <w:rPr>
          <w:b/>
        </w:rPr>
      </w:pPr>
      <w:r w:rsidRPr="00C953BC">
        <w:rPr>
          <w:b/>
        </w:rPr>
        <w:t xml:space="preserve">Lukas </w:t>
      </w:r>
      <w:proofErr w:type="spellStart"/>
      <w:r w:rsidRPr="00C953BC">
        <w:rPr>
          <w:b/>
        </w:rPr>
        <w:t>Schwengerer</w:t>
      </w:r>
      <w:proofErr w:type="spellEnd"/>
      <w:r w:rsidRPr="00C953BC">
        <w:rPr>
          <w:b/>
        </w:rPr>
        <w:t xml:space="preserve">: </w:t>
      </w:r>
      <w:r w:rsidRPr="00C953BC">
        <w:rPr>
          <w:b/>
          <w:i/>
        </w:rPr>
        <w:t>Beliefs over Avowals: Setting up the Discourse on Self-Knowledge</w:t>
      </w:r>
    </w:p>
    <w:p w:rsidR="003C1F5E" w:rsidRDefault="003C1F5E" w:rsidP="003C1F5E">
      <w:r>
        <w:t xml:space="preserve">Crispin Wright claims that self-knowledge is something best explained by attending to our linguistic practices. Lukas </w:t>
      </w:r>
      <w:proofErr w:type="spellStart"/>
      <w:r>
        <w:t>Schwengerer</w:t>
      </w:r>
      <w:proofErr w:type="spellEnd"/>
      <w:r>
        <w:t xml:space="preserve"> argued that Wright’s approach cannot satisfactorily explain self-knowledge and that instead we must explain the role self-knowledge plays in specific kinds of disagreement with recourse to beliefs and belief-formation. Lukas distinguished the Linguistic View of Wright from his own Doxastic View. Lukas challenged the Linguistic View by pointing out that in the case of ‘mental state disagreement’ (where a subject S believes that S is in mental state M, but an interlocutor L claims that S is not in M but M*) we cannot adequately account for what S ought to do only by focusing on linguistic practices. In these cases, my friend can point to my past behaviour, but the threshold for S changing her attitude seems to be higher than in other types of disagreement. Lukas argued that this is due to the distinctive kind of belief involved in self-knowledge. This, Lukas argued, shows that even after the initial linguistic avowal and response has been concluded, I am in a different position regarding my beliefs than in other non-mental-state-oriented disagreements. Questions were primarily directed at the cogency of the argument against the Linguistic View. Examples included questioners asking whether we could not simply look at the continued pattern of dialogue in order to settle the matter of what S ought to do. Also, it was asked, could we not persist in the linguistic interpretation in order to get at what is distinctive about the difference between types of disagreement?</w:t>
      </w:r>
    </w:p>
    <w:p w:rsidR="003C1F5E" w:rsidRDefault="003C1F5E" w:rsidP="003C1F5E"/>
    <w:p w:rsidR="003C1F5E" w:rsidRPr="00C953BC" w:rsidRDefault="003C1F5E" w:rsidP="003C1F5E">
      <w:pPr>
        <w:rPr>
          <w:b/>
        </w:rPr>
      </w:pPr>
      <w:r w:rsidRPr="00C953BC">
        <w:rPr>
          <w:b/>
        </w:rPr>
        <w:t xml:space="preserve">Carlota </w:t>
      </w:r>
      <w:proofErr w:type="spellStart"/>
      <w:r w:rsidRPr="00C953BC">
        <w:rPr>
          <w:b/>
        </w:rPr>
        <w:t>Serrahima</w:t>
      </w:r>
      <w:proofErr w:type="spellEnd"/>
      <w:r w:rsidRPr="00C953BC">
        <w:rPr>
          <w:b/>
        </w:rPr>
        <w:t xml:space="preserve">: </w:t>
      </w:r>
      <w:r w:rsidRPr="00C953BC">
        <w:rPr>
          <w:b/>
          <w:i/>
        </w:rPr>
        <w:t>My Body is the Subject’s Body</w:t>
      </w:r>
    </w:p>
    <w:p w:rsidR="003C1F5E" w:rsidRDefault="003C1F5E" w:rsidP="003C1F5E">
      <w:r>
        <w:t xml:space="preserve">Carlota introduced her talk by presenting the observation that when I sit with my legs crossed, any thoughts I have about the bodily sensations I thereby feel attribute the legs to me: that is, I am aware of my legs as mine. Carlota introduces the terminology used by many in the literature to describe this phenomenon: the sense of bodily ownership (SBO). To have an SBO the subject must be aware of the body one feels in bodily experience as being one’s own. Carlota then argues that any successful account of SBO must meet three explanatory criteria. First, the epistemic goal states that an account of SBO must explain the fact that we self-attribute the felt body for all judgments based on bodily experiences in which we do so. Second, the psychological goal states that an account of SBO must account for the seemingly necessary link which certain feelings associated with the body have with awareness of ownership as opposed to other feelings which are not viewed in such a manner. Last, the empirical goal states that any account of SBO must explain how it is that some bodily experiences are not experienced as one’s own in certain pathological or experimental contexts. Carlota argued that by positing the ‘bodily field’ along the lines of an analogy with </w:t>
      </w:r>
      <w:proofErr w:type="spellStart"/>
      <w:r>
        <w:t>Peacocke’s</w:t>
      </w:r>
      <w:proofErr w:type="spellEnd"/>
      <w:r>
        <w:t xml:space="preserve"> account of the visual field. This posits that the subject sees a necessary link between the properties she experiences in the body and the content of the experiences of which these properties are a content. Some questions focused on the extent to which Carlota’s own proposal satisfied the three criteria she established. Other questions focused on the intelligibility of the notion of a bodily field, and how well the analogy with </w:t>
      </w:r>
      <w:proofErr w:type="spellStart"/>
      <w:r>
        <w:t>Peacocke</w:t>
      </w:r>
      <w:proofErr w:type="spellEnd"/>
      <w:r>
        <w:t xml:space="preserve"> held up.</w:t>
      </w:r>
    </w:p>
    <w:p w:rsidR="00C1222E" w:rsidRDefault="00C1222E" w:rsidP="003C1F5E"/>
    <w:p w:rsidR="003C1F5E" w:rsidRPr="00C1222E" w:rsidRDefault="003C1F5E" w:rsidP="003C1F5E">
      <w:pPr>
        <w:rPr>
          <w:b/>
        </w:rPr>
      </w:pPr>
      <w:r w:rsidRPr="00C1222E">
        <w:rPr>
          <w:b/>
        </w:rPr>
        <w:t xml:space="preserve">Bram </w:t>
      </w:r>
      <w:proofErr w:type="spellStart"/>
      <w:r w:rsidRPr="00C1222E">
        <w:rPr>
          <w:b/>
        </w:rPr>
        <w:t>Vaassen</w:t>
      </w:r>
      <w:proofErr w:type="spellEnd"/>
      <w:r w:rsidRPr="00C1222E">
        <w:rPr>
          <w:b/>
        </w:rPr>
        <w:t xml:space="preserve">: </w:t>
      </w:r>
      <w:r w:rsidRPr="00C1222E">
        <w:rPr>
          <w:b/>
          <w:i/>
        </w:rPr>
        <w:t>Contemporary Dualism and Exclusion: New Formulation for an Old Argument</w:t>
      </w:r>
    </w:p>
    <w:p w:rsidR="003C1F5E" w:rsidRDefault="003C1F5E" w:rsidP="003C1F5E">
      <w:r>
        <w:lastRenderedPageBreak/>
        <w:t xml:space="preserve">Bram began by pointing out that while many contemporary authors consider exclusion arguments against non-reductive non-physicalist dualist theories of mind to be successful, List and </w:t>
      </w:r>
      <w:proofErr w:type="spellStart"/>
      <w:r>
        <w:t>Stoljar</w:t>
      </w:r>
      <w:proofErr w:type="spellEnd"/>
      <w:r>
        <w:t xml:space="preserve"> argue that such arguments do not work. Bram argued that List and </w:t>
      </w:r>
      <w:proofErr w:type="spellStart"/>
      <w:r>
        <w:t>Stoljar</w:t>
      </w:r>
      <w:proofErr w:type="spellEnd"/>
      <w:r>
        <w:t xml:space="preserve"> are mistaken, and that exclusion arguments can be fruitfully employed to rule out contemporary dualism. Bram began by providing an account of exclusion arguments. These arguments are typically employed to demonstrate that conscious properties cannot be distinct from physical properties. Without going into Bram’s argument in too much detail, he points out where List and </w:t>
      </w:r>
      <w:proofErr w:type="spellStart"/>
      <w:r>
        <w:t>Stoljar</w:t>
      </w:r>
      <w:proofErr w:type="spellEnd"/>
      <w:r>
        <w:t xml:space="preserve"> find an escape from the argument is to point towards an ambiguity surrounding the use of the term ‘distinct’ which is deployed in arguments from exclusion. Against this, Bram argued that the dualist’s response relies on a view about causality which is implausible once we consider the counterfactual logic which underpins it. Once we have got the counterfactual logic correct, we can see that the dualist’s interpretation of causality does not deliver an argument against exclusion. However, Bram argued further that even if we can formulate an argument against the type of exclusion the dualist rejects, there is a stronger version than the dualist endorses left on the table. This stronger version still delivers an argument against dualism. The talk relied on elements of Lewis’ philosophy to establish its claims and many questions focused on how we should understand Lewis’ use of ‘closest possible worlds’. Additionally, questioners wondered whether Bram had fairly characterised precisely how the dualist could respond to his challenge, and raised possible ways the dualist could escape Bram’s argument.</w:t>
      </w:r>
    </w:p>
    <w:p w:rsidR="003C1F5E" w:rsidRDefault="003C1F5E" w:rsidP="003C1F5E"/>
    <w:p w:rsidR="003C1F5E" w:rsidRPr="00371236" w:rsidRDefault="003C1F5E" w:rsidP="003C1F5E">
      <w:pPr>
        <w:rPr>
          <w:b/>
        </w:rPr>
      </w:pPr>
      <w:r w:rsidRPr="00371236">
        <w:rPr>
          <w:b/>
        </w:rPr>
        <w:t xml:space="preserve">Maria Alvarez: </w:t>
      </w:r>
      <w:r w:rsidRPr="00371236">
        <w:rPr>
          <w:b/>
          <w:i/>
        </w:rPr>
        <w:t>Agency and Abilities</w:t>
      </w:r>
    </w:p>
    <w:p w:rsidR="003C1F5E" w:rsidRDefault="003C1F5E" w:rsidP="003C1F5E">
      <w:r>
        <w:t>Dr Alvarez focused her talk on the moral implications of an account of what it means that an agent ‘could [or could not] have acted otherwise’. In order to approach this topic, Dr Alvarez introduced several theorists who have posited distinct kinds of abilities. Dr Alvarez reported that in each of these accounts a pertinent feature in the distinction between the types of abilities comes down to the distinction between an ability that is not ‘occasion-specific’ and the conditions or circumstances which obtain on any given occasion. Dr Alvarez then looked at the work of Kenny in order to draw out a more thorough distinction which is not properly between two types of ability, but which rather contrasts ‘ability’ with ‘opportunity’. Following this, Dr Alvarez considered whether the notion of ‘could have acted otherwise’ requires both ability and opportunity, or simply ability. In order to consider both this question and its moral implications, Dr Alvarez turned to Frankfurt cases. She explored whether in cases such as these, and any which are modified to have the same spirit, the agent does not have the ability to act otherwise but simply the opportunity. Dr Alvarez concluded that in each of these cases we simply do not have the opportunity to act otherwise, and that Frankfurt cases do not therefore undermine the ‘could have acted otherwise’ principle interpreted as pertaining to ability. Several interesting questions were raised. Some concerned the modal claims we might make in these situations. Other questioners considered Kenny’s original distinction, and raised potential problems for the broad inner/outer distinction between ability and opportunity. Others asked if Dr Alvarez could comment on cases in which persistent lack of opportunity creates permanent psychological effects which might transform into cases where we lack an ability.</w:t>
      </w:r>
    </w:p>
    <w:p w:rsidR="003C1F5E" w:rsidRDefault="003C1F5E" w:rsidP="003C1F5E"/>
    <w:p w:rsidR="003C1F5E" w:rsidRPr="009C6B0F" w:rsidRDefault="003C1F5E" w:rsidP="003C1F5E">
      <w:pPr>
        <w:rPr>
          <w:b/>
        </w:rPr>
      </w:pPr>
      <w:r w:rsidRPr="009C6B0F">
        <w:rPr>
          <w:b/>
        </w:rPr>
        <w:t xml:space="preserve">Barry Stroud: </w:t>
      </w:r>
      <w:r w:rsidRPr="009C6B0F">
        <w:rPr>
          <w:b/>
          <w:i/>
        </w:rPr>
        <w:t>Are the Colours of Things Secondary Qualities?</w:t>
      </w:r>
    </w:p>
    <w:p w:rsidR="00F36CFD" w:rsidRDefault="003C1F5E">
      <w:r>
        <w:t xml:space="preserve">Professor Stroud presented a talk which constituted a continuation of the debate between him and John McDowell over the nature of colour. Essentially, the debate concerns the question whether colours are ‘secondary’ or ‘primary’ qualities. Professor Stroud began his talk by laying out the </w:t>
      </w:r>
      <w:r>
        <w:lastRenderedPageBreak/>
        <w:t>debate between himself and McDowell. McDowell holds that colours are secondary properties -- properties which have no existence independently of human perception -- for reasons having to do with perception. McDowell believes that the kinds of perceptions we receive from objects are colours as dispositional properties. Professor Stroud said that he does not thing we can consistently hold this view. He argued that on this view, it is not clear how we come to possess the kind of conceptual content which features in thoughts of colours. If a colour produces in us the perception of something such as to look yellow, as the dispositionalist account has it, it is hard to see how we come by an understanding of the term ‘yellow’ in that sentence. Surely, Stroud argues, there must be something other than the mere dispositional property. The talk was very well received, and questions ranged from clarifications on the background to the debate from questions asking Professor Stroud to expand on some of his key points. It was asked, for example, whether what Professor Stroud had said was sufficient to establish the primary quality view, and whether we could opt for a version of the view under which colours were subjective. This view, Professor Stroud maintained, would amount to an error theory of perception which is not desirable for various reasons.</w:t>
      </w:r>
      <w:bookmarkStart w:id="0" w:name="_GoBack"/>
      <w:bookmarkEnd w:id="0"/>
    </w:p>
    <w:sectPr w:rsidR="00F36C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F5E"/>
    <w:rsid w:val="00050960"/>
    <w:rsid w:val="00084214"/>
    <w:rsid w:val="000E55F4"/>
    <w:rsid w:val="00371236"/>
    <w:rsid w:val="003C1F5E"/>
    <w:rsid w:val="00510F3F"/>
    <w:rsid w:val="00553C9D"/>
    <w:rsid w:val="007C3870"/>
    <w:rsid w:val="009C6B0F"/>
    <w:rsid w:val="00A03A1C"/>
    <w:rsid w:val="00C1222E"/>
    <w:rsid w:val="00C953BC"/>
    <w:rsid w:val="00EA30DD"/>
    <w:rsid w:val="00F36C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8450D0-E85D-4EC9-A279-FC44EC8B4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953BC"/>
    <w:rPr>
      <w:color w:val="0563C1" w:themeColor="hyperlink"/>
      <w:u w:val="single"/>
    </w:rPr>
  </w:style>
  <w:style w:type="character" w:customStyle="1" w:styleId="UnresolvedMention">
    <w:name w:val="Unresolved Mention"/>
    <w:basedOn w:val="DefaultParagraphFont"/>
    <w:uiPriority w:val="99"/>
    <w:semiHidden/>
    <w:unhideWhenUsed/>
    <w:rsid w:val="00C953B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3966743">
      <w:bodyDiv w:val="1"/>
      <w:marLeft w:val="0"/>
      <w:marRight w:val="0"/>
      <w:marTop w:val="0"/>
      <w:marBottom w:val="0"/>
      <w:divBdr>
        <w:top w:val="none" w:sz="0" w:space="0" w:color="auto"/>
        <w:left w:val="none" w:sz="0" w:space="0" w:color="auto"/>
        <w:bottom w:val="none" w:sz="0" w:space="0" w:color="auto"/>
        <w:right w:val="none" w:sz="0" w:space="0" w:color="auto"/>
      </w:divBdr>
    </w:div>
    <w:div w:id="1771663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j.heemskerk@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1B87CC53</Template>
  <TotalTime>0</TotalTime>
  <Pages>7</Pages>
  <Words>3520</Words>
  <Characters>20070</Characters>
  <Application>Microsoft Office Word</Application>
  <DocSecurity>4</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 Heemskerk</dc:creator>
  <cp:keywords/>
  <dc:description/>
  <cp:lastModifiedBy>Rae, Sue</cp:lastModifiedBy>
  <cp:revision>2</cp:revision>
  <dcterms:created xsi:type="dcterms:W3CDTF">2018-02-22T12:55:00Z</dcterms:created>
  <dcterms:modified xsi:type="dcterms:W3CDTF">2018-02-22T12:55:00Z</dcterms:modified>
</cp:coreProperties>
</file>