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57F4" w:rsidRPr="004957F4" w:rsidRDefault="004957F4" w:rsidP="004957F4">
      <w:pPr>
        <w:rPr>
          <w:rFonts w:asciiTheme="minorHAnsi" w:eastAsia="Baskerville" w:hAnsiTheme="minorHAnsi"/>
          <w:sz w:val="20"/>
        </w:rPr>
      </w:pPr>
      <w:r w:rsidRPr="004957F4">
        <w:rPr>
          <w:rFonts w:asciiTheme="minorHAnsi" w:eastAsia="Baskerville" w:hAnsiTheme="minorHAnsi"/>
          <w:sz w:val="20"/>
        </w:rPr>
        <w:t>Mood – Aesthetic, Psychological and Philosophical Perspectives</w:t>
      </w:r>
    </w:p>
    <w:p w:rsidR="004957F4" w:rsidRPr="004957F4" w:rsidRDefault="004957F4" w:rsidP="004957F4">
      <w:pPr>
        <w:rPr>
          <w:rFonts w:asciiTheme="minorHAnsi" w:eastAsia="Baskerville" w:hAnsiTheme="minorHAnsi"/>
          <w:sz w:val="20"/>
        </w:rPr>
      </w:pPr>
    </w:p>
    <w:p w:rsidR="004957F4" w:rsidRPr="004957F4" w:rsidRDefault="004957F4" w:rsidP="004957F4">
      <w:pPr>
        <w:rPr>
          <w:rFonts w:asciiTheme="minorHAnsi" w:eastAsia="Baskerville" w:hAnsiTheme="minorHAnsi"/>
          <w:sz w:val="20"/>
        </w:rPr>
      </w:pPr>
      <w:r w:rsidRPr="004957F4">
        <w:rPr>
          <w:rFonts w:asciiTheme="minorHAnsi" w:eastAsia="Baskerville" w:hAnsiTheme="minorHAnsi"/>
          <w:sz w:val="20"/>
        </w:rPr>
        <w:t>6</w:t>
      </w:r>
      <w:r w:rsidRPr="004957F4">
        <w:rPr>
          <w:rFonts w:asciiTheme="minorHAnsi" w:eastAsia="Baskerville" w:hAnsiTheme="minorHAnsi"/>
          <w:sz w:val="20"/>
          <w:vertAlign w:val="superscript"/>
        </w:rPr>
        <w:t>th</w:t>
      </w:r>
      <w:r>
        <w:rPr>
          <w:rFonts w:asciiTheme="minorHAnsi" w:eastAsia="Baskerville" w:hAnsiTheme="minorHAnsi"/>
          <w:sz w:val="20"/>
        </w:rPr>
        <w:t xml:space="preserve"> and 7</w:t>
      </w:r>
      <w:r w:rsidRPr="004957F4">
        <w:rPr>
          <w:rFonts w:asciiTheme="minorHAnsi" w:eastAsia="Baskerville" w:hAnsiTheme="minorHAnsi"/>
          <w:sz w:val="20"/>
          <w:vertAlign w:val="superscript"/>
        </w:rPr>
        <w:t>th</w:t>
      </w:r>
      <w:r>
        <w:rPr>
          <w:rFonts w:asciiTheme="minorHAnsi" w:eastAsia="Baskerville" w:hAnsiTheme="minorHAnsi"/>
          <w:sz w:val="20"/>
        </w:rPr>
        <w:t xml:space="preserve"> </w:t>
      </w:r>
      <w:r w:rsidRPr="004957F4">
        <w:rPr>
          <w:rFonts w:asciiTheme="minorHAnsi" w:eastAsia="Baskerville" w:hAnsiTheme="minorHAnsi"/>
          <w:sz w:val="20"/>
        </w:rPr>
        <w:t>May 2016, University of Warwick</w:t>
      </w:r>
    </w:p>
    <w:p w:rsidR="004957F4" w:rsidRPr="004957F4" w:rsidRDefault="004957F4" w:rsidP="004957F4">
      <w:pPr>
        <w:rPr>
          <w:rFonts w:asciiTheme="minorHAnsi" w:eastAsia="Baskerville" w:hAnsiTheme="minorHAnsi"/>
          <w:sz w:val="20"/>
        </w:rPr>
      </w:pPr>
    </w:p>
    <w:p w:rsidR="004957F4" w:rsidRDefault="004957F4" w:rsidP="004957F4">
      <w:pPr>
        <w:jc w:val="both"/>
        <w:rPr>
          <w:rFonts w:asciiTheme="minorHAnsi" w:eastAsia="Baskerville" w:hAnsiTheme="minorHAnsi"/>
          <w:sz w:val="20"/>
        </w:rPr>
      </w:pPr>
      <w:r w:rsidRPr="004957F4">
        <w:rPr>
          <w:rFonts w:asciiTheme="minorHAnsi" w:eastAsia="Baskerville" w:hAnsiTheme="minorHAnsi"/>
          <w:sz w:val="20"/>
        </w:rPr>
        <w:t xml:space="preserve">The question of mood lies at the heart of interrelated research fields in a variety of disciplines such as psychology, sociology, philosophy and the arts. In everyday life, mood is somehow always there – be it as a subtle mode of experience underlying a situation or in the form of an excruciatingly awkward encounter we are acutely aware of. Although the vast interdisciplinary potential of this phenomenon has previously been noted by a number of scholars, until recently there had been no international platform for discussing mood and for reflecting on the benefits, and problems, of approaching mood through an interdisciplinary lens. This conference set out to do so, tackling the concept of mood through a number of guiding questions: how do concepts of mood and ways of researching it differ among disciplines, and (how) can they be brought together? Where do these disciplines collide, and what does this tell us about the nature of mood? Is mood primarily a phenomenon of the subject, or is it inherently social? What are the politics of mood, and what is its place in current scholarship across the sciences and the humanities? </w:t>
      </w:r>
    </w:p>
    <w:p w:rsidR="004957F4" w:rsidRPr="004957F4" w:rsidRDefault="004957F4" w:rsidP="004957F4">
      <w:pPr>
        <w:jc w:val="both"/>
        <w:rPr>
          <w:rFonts w:asciiTheme="minorHAnsi" w:eastAsia="Baskerville" w:hAnsiTheme="minorHAnsi"/>
          <w:sz w:val="20"/>
        </w:rPr>
      </w:pPr>
    </w:p>
    <w:p w:rsidR="004957F4" w:rsidRDefault="004957F4" w:rsidP="004957F4">
      <w:pPr>
        <w:jc w:val="both"/>
        <w:rPr>
          <w:rFonts w:asciiTheme="minorHAnsi" w:eastAsia="Baskerville" w:hAnsiTheme="minorHAnsi"/>
          <w:sz w:val="20"/>
        </w:rPr>
      </w:pPr>
      <w:r w:rsidRPr="004957F4">
        <w:rPr>
          <w:rFonts w:asciiTheme="minorHAnsi" w:eastAsia="Baskerville" w:hAnsiTheme="minorHAnsi"/>
          <w:sz w:val="20"/>
        </w:rPr>
        <w:t xml:space="preserve">The academic world responded with a great amount of interest to our </w:t>
      </w:r>
      <w:proofErr w:type="spellStart"/>
      <w:r w:rsidRPr="004957F4">
        <w:rPr>
          <w:rFonts w:asciiTheme="minorHAnsi" w:eastAsia="Baskerville" w:hAnsiTheme="minorHAnsi"/>
          <w:sz w:val="20"/>
        </w:rPr>
        <w:t>CfP</w:t>
      </w:r>
      <w:proofErr w:type="spellEnd"/>
      <w:r w:rsidRPr="004957F4">
        <w:rPr>
          <w:rFonts w:asciiTheme="minorHAnsi" w:eastAsia="Baskerville" w:hAnsiTheme="minorHAnsi"/>
          <w:sz w:val="20"/>
        </w:rPr>
        <w:t>, enabling us to design a two-day programme including over 40 speakers from six continents, based in over a dozen academic disciplines and creative practices. The programme was structured through a series of keynote lectures and artistic performances, interspersed with parallel sessions and concluded by a panel discussion bringing together the five main disciplines represented at the event. We are currently planning on furthering the productive potential of this plurality of perspectives, as well as the tensions that arose from the discussions over the two days, in a collection of essays based on the papers given at this conference.</w:t>
      </w:r>
    </w:p>
    <w:p w:rsidR="004957F4" w:rsidRPr="004957F4" w:rsidRDefault="004957F4" w:rsidP="004957F4">
      <w:pPr>
        <w:jc w:val="both"/>
        <w:rPr>
          <w:rFonts w:asciiTheme="minorHAnsi" w:hAnsiTheme="minorHAnsi"/>
          <w:sz w:val="20"/>
        </w:rPr>
      </w:pPr>
    </w:p>
    <w:p w:rsidR="003F7B16" w:rsidRPr="004957F4" w:rsidRDefault="004957F4" w:rsidP="004957F4">
      <w:pPr>
        <w:jc w:val="right"/>
        <w:rPr>
          <w:rFonts w:asciiTheme="minorHAnsi" w:hAnsiTheme="minorHAnsi"/>
          <w:sz w:val="20"/>
        </w:rPr>
      </w:pPr>
      <w:bookmarkStart w:id="0" w:name="_GoBack"/>
      <w:bookmarkEnd w:id="0"/>
      <w:r w:rsidRPr="004957F4">
        <w:rPr>
          <w:rFonts w:asciiTheme="minorHAnsi" w:eastAsia="Baskerville" w:hAnsiTheme="minorHAnsi"/>
          <w:sz w:val="20"/>
        </w:rPr>
        <w:t>Birgit Breidenbach, Department of English and Comparative Literary Studies</w:t>
      </w:r>
    </w:p>
    <w:sectPr w:rsidR="003F7B16" w:rsidRPr="004957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askerville">
    <w:altName w:val="MS Mincho"/>
    <w:charset w:val="80"/>
    <w:family w:val="auto"/>
    <w:pitch w:val="variable"/>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7F4"/>
    <w:rsid w:val="003F7B16"/>
    <w:rsid w:val="004957F4"/>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AED86D-D6DE-4C26-A632-8DBF9A348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57F4"/>
    <w:pPr>
      <w:widowControl w:val="0"/>
      <w:suppressAutoHyphens/>
      <w:overflowPunct w:val="0"/>
      <w:autoSpaceDE w:val="0"/>
      <w:autoSpaceDN w:val="0"/>
      <w:adjustRightInd w:val="0"/>
      <w:spacing w:after="0" w:line="240" w:lineRule="auto"/>
    </w:pPr>
    <w:rPr>
      <w:rFonts w:ascii="Times New Roman" w:eastAsia="Times New Roman" w:hAnsi="Times New Roman" w:cs="Times New Roman"/>
      <w:kern w:val="2"/>
      <w:sz w:val="24"/>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6537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3C93D33D</Template>
  <TotalTime>2</TotalTime>
  <Pages>1</Pages>
  <Words>304</Words>
  <Characters>1734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dc:description/>
  <cp:lastModifiedBy>Dibben, Sue</cp:lastModifiedBy>
  <cp:revision>1</cp:revision>
  <dcterms:created xsi:type="dcterms:W3CDTF">2016-07-05T08:57:00Z</dcterms:created>
  <dcterms:modified xsi:type="dcterms:W3CDTF">2016-07-05T08:59:00Z</dcterms:modified>
</cp:coreProperties>
</file>