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77A93" w14:textId="71C2F2A8" w:rsidR="002458EA" w:rsidRDefault="002458EA" w:rsidP="002458EA">
      <w:pPr>
        <w:pStyle w:val="NormalWeb"/>
        <w:rPr>
          <w:rFonts w:asciiTheme="minorHAnsi" w:hAnsiTheme="minorHAnsi"/>
        </w:rPr>
      </w:pPr>
      <w:r>
        <w:rPr>
          <w:rFonts w:asciiTheme="minorHAnsi" w:hAnsiTheme="minorHAnsi"/>
        </w:rPr>
        <w:t>Parish Data</w:t>
      </w:r>
      <w:r w:rsidR="00FE5887">
        <w:rPr>
          <w:rFonts w:asciiTheme="minorHAnsi" w:hAnsiTheme="minorHAnsi"/>
        </w:rPr>
        <w:t xml:space="preserve"> (</w:t>
      </w:r>
      <w:r>
        <w:rPr>
          <w:rFonts w:asciiTheme="minorHAnsi" w:hAnsiTheme="minorHAnsi"/>
        </w:rPr>
        <w:t>The Twenty-Fourth Warwick Symposium on Parish Research</w:t>
      </w:r>
      <w:r w:rsidR="00FE5887">
        <w:rPr>
          <w:rFonts w:asciiTheme="minorHAnsi" w:hAnsiTheme="minorHAnsi"/>
        </w:rPr>
        <w:t xml:space="preserve">) Saturday </w:t>
      </w:r>
      <w:r>
        <w:rPr>
          <w:rFonts w:asciiTheme="minorHAnsi" w:hAnsiTheme="minorHAnsi"/>
        </w:rPr>
        <w:t>16 May 2026</w:t>
      </w:r>
    </w:p>
    <w:p w14:paraId="39B60709" w14:textId="3FC11674" w:rsidR="002458EA" w:rsidRPr="00FC1335" w:rsidRDefault="00FC3BF7" w:rsidP="002458EA">
      <w:pPr>
        <w:pStyle w:val="NormalWeb"/>
        <w:rPr>
          <w:rFonts w:asciiTheme="minorHAnsi" w:hAnsiTheme="minorHAnsi"/>
        </w:rPr>
      </w:pPr>
      <w:r w:rsidRPr="00FC1335">
        <w:rPr>
          <w:rFonts w:asciiTheme="minorHAnsi" w:hAnsiTheme="minorHAnsi"/>
        </w:rPr>
        <w:t>Co- o</w:t>
      </w:r>
      <w:r w:rsidR="002458EA" w:rsidRPr="00FC1335">
        <w:rPr>
          <w:rFonts w:asciiTheme="minorHAnsi" w:hAnsiTheme="minorHAnsi"/>
        </w:rPr>
        <w:t>rganise</w:t>
      </w:r>
      <w:r w:rsidRPr="00FC1335">
        <w:rPr>
          <w:rFonts w:asciiTheme="minorHAnsi" w:hAnsiTheme="minorHAnsi"/>
        </w:rPr>
        <w:t>d by</w:t>
      </w:r>
      <w:r w:rsidR="002458EA" w:rsidRPr="00FC1335">
        <w:rPr>
          <w:rFonts w:asciiTheme="minorHAnsi" w:hAnsiTheme="minorHAnsi"/>
        </w:rPr>
        <w:t xml:space="preserve"> Beat Kümin</w:t>
      </w:r>
      <w:r w:rsidR="00F31411" w:rsidRPr="00FC1335">
        <w:rPr>
          <w:rFonts w:asciiTheme="minorHAnsi" w:hAnsiTheme="minorHAnsi"/>
        </w:rPr>
        <w:t>, Jeanne Dufresne, Lynn Marriott &amp; Dan Meldon</w:t>
      </w:r>
      <w:r w:rsidR="002458EA" w:rsidRPr="00FC1335">
        <w:rPr>
          <w:rFonts w:asciiTheme="minorHAnsi" w:hAnsiTheme="minorHAnsi"/>
        </w:rPr>
        <w:t xml:space="preserve"> (University of Warwick/My Parish) </w:t>
      </w:r>
      <w:r w:rsidR="00C97636" w:rsidRPr="00FC1335">
        <w:rPr>
          <w:rFonts w:asciiTheme="minorHAnsi" w:hAnsiTheme="minorHAnsi"/>
        </w:rPr>
        <w:t>with</w:t>
      </w:r>
      <w:r w:rsidR="002458EA" w:rsidRPr="00FC1335">
        <w:rPr>
          <w:rFonts w:asciiTheme="minorHAnsi" w:hAnsiTheme="minorHAnsi"/>
        </w:rPr>
        <w:t xml:space="preserve"> Marek Słoń</w:t>
      </w:r>
      <w:r w:rsidR="00F31411" w:rsidRPr="00FC1335">
        <w:rPr>
          <w:rFonts w:asciiTheme="minorHAnsi" w:hAnsiTheme="minorHAnsi"/>
        </w:rPr>
        <w:t xml:space="preserve"> and</w:t>
      </w:r>
      <w:r w:rsidR="002458EA" w:rsidRPr="00FC1335">
        <w:rPr>
          <w:rFonts w:asciiTheme="minorHAnsi" w:hAnsiTheme="minorHAnsi"/>
        </w:rPr>
        <w:t xml:space="preserve"> </w:t>
      </w:r>
      <w:r w:rsidR="00F31411" w:rsidRPr="00FC1335">
        <w:rPr>
          <w:rFonts w:asciiTheme="minorHAnsi" w:hAnsiTheme="minorHAnsi"/>
        </w:rPr>
        <w:t>Artur Karpacz (</w:t>
      </w:r>
      <w:r w:rsidR="002458EA" w:rsidRPr="00FC1335">
        <w:rPr>
          <w:rFonts w:asciiTheme="minorHAnsi" w:hAnsiTheme="minorHAnsi"/>
        </w:rPr>
        <w:t>Institute for the Historical Geography of the Church in Poland – John Paul II Catholic University of Lublin)</w:t>
      </w:r>
      <w:r w:rsidR="00F31411" w:rsidRPr="00FC1335">
        <w:rPr>
          <w:rFonts w:asciiTheme="minorHAnsi" w:hAnsiTheme="minorHAnsi"/>
        </w:rPr>
        <w:t>.</w:t>
      </w:r>
    </w:p>
    <w:p w14:paraId="2EC844A9" w14:textId="36778DEF" w:rsidR="00501BDF" w:rsidRPr="00FC1335" w:rsidRDefault="00501BDF" w:rsidP="002458EA">
      <w:pPr>
        <w:pStyle w:val="NormalWeb"/>
        <w:rPr>
          <w:rFonts w:asciiTheme="minorHAnsi" w:hAnsiTheme="minorHAnsi"/>
        </w:rPr>
      </w:pPr>
      <w:r w:rsidRPr="00FC1335">
        <w:rPr>
          <w:rFonts w:asciiTheme="minorHAnsi" w:hAnsiTheme="minorHAnsi"/>
        </w:rPr>
        <w:t>This annual day conference, took place in hybrid format at the Faculty of Arts Bui</w:t>
      </w:r>
      <w:r w:rsidR="00FC1335">
        <w:rPr>
          <w:rFonts w:asciiTheme="minorHAnsi" w:hAnsiTheme="minorHAnsi"/>
        </w:rPr>
        <w:t>l</w:t>
      </w:r>
      <w:r w:rsidRPr="00FC1335">
        <w:rPr>
          <w:rFonts w:asciiTheme="minorHAnsi" w:hAnsiTheme="minorHAnsi"/>
        </w:rPr>
        <w:t>ding on Saturday 16 May 2026 with delegates attending from New Zealand, Poland, Hungary</w:t>
      </w:r>
      <w:r w:rsidR="00933B2D" w:rsidRPr="00FC1335">
        <w:rPr>
          <w:rFonts w:asciiTheme="minorHAnsi" w:hAnsiTheme="minorHAnsi"/>
        </w:rPr>
        <w:t>, Switzerland</w:t>
      </w:r>
      <w:r w:rsidRPr="00FC1335">
        <w:rPr>
          <w:rFonts w:asciiTheme="minorHAnsi" w:hAnsiTheme="minorHAnsi"/>
        </w:rPr>
        <w:t xml:space="preserve"> and Italy as well as the UK. Proceedings were divided into </w:t>
      </w:r>
      <w:r w:rsidR="00933B2D" w:rsidRPr="00FC1335">
        <w:rPr>
          <w:rFonts w:asciiTheme="minorHAnsi" w:hAnsiTheme="minorHAnsi"/>
        </w:rPr>
        <w:t>four</w:t>
      </w:r>
      <w:r w:rsidRPr="00FC1335">
        <w:rPr>
          <w:rFonts w:asciiTheme="minorHAnsi" w:hAnsiTheme="minorHAnsi"/>
        </w:rPr>
        <w:t xml:space="preserve"> parts with </w:t>
      </w:r>
      <w:r w:rsidR="00913163" w:rsidRPr="00FC1335">
        <w:rPr>
          <w:rFonts w:asciiTheme="minorHAnsi" w:hAnsiTheme="minorHAnsi"/>
        </w:rPr>
        <w:t>twelve</w:t>
      </w:r>
      <w:r w:rsidRPr="00FC1335">
        <w:rPr>
          <w:rFonts w:asciiTheme="minorHAnsi" w:hAnsiTheme="minorHAnsi"/>
        </w:rPr>
        <w:t xml:space="preserve"> speakers, all addressing</w:t>
      </w:r>
      <w:r w:rsidR="00913163" w:rsidRPr="00FC1335">
        <w:rPr>
          <w:rFonts w:asciiTheme="minorHAnsi" w:hAnsiTheme="minorHAnsi"/>
        </w:rPr>
        <w:t xml:space="preserve"> the theme of</w:t>
      </w:r>
      <w:r w:rsidRPr="00FC1335">
        <w:rPr>
          <w:rFonts w:asciiTheme="minorHAnsi" w:hAnsiTheme="minorHAnsi"/>
        </w:rPr>
        <w:t xml:space="preserve"> ‘Parish </w:t>
      </w:r>
      <w:r w:rsidR="00913163" w:rsidRPr="00FC1335">
        <w:rPr>
          <w:rFonts w:asciiTheme="minorHAnsi" w:hAnsiTheme="minorHAnsi"/>
        </w:rPr>
        <w:t>Data</w:t>
      </w:r>
      <w:r w:rsidRPr="00FC1335">
        <w:rPr>
          <w:rFonts w:asciiTheme="minorHAnsi" w:hAnsiTheme="minorHAnsi"/>
        </w:rPr>
        <w:t xml:space="preserve">’ with 15-minute contributions. </w:t>
      </w:r>
    </w:p>
    <w:p w14:paraId="5C704C79" w14:textId="1791F14F" w:rsidR="002458EA" w:rsidRDefault="00CD323A" w:rsidP="002458EA">
      <w:pPr>
        <w:pStyle w:val="NormalWeb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first </w:t>
      </w:r>
      <w:r w:rsidR="0013356F">
        <w:rPr>
          <w:rFonts w:asciiTheme="minorHAnsi" w:hAnsiTheme="minorHAnsi"/>
        </w:rPr>
        <w:t xml:space="preserve">panel </w:t>
      </w:r>
      <w:r>
        <w:rPr>
          <w:rFonts w:asciiTheme="minorHAnsi" w:hAnsiTheme="minorHAnsi"/>
        </w:rPr>
        <w:t>of four sessions</w:t>
      </w:r>
      <w:r w:rsidR="00BC697D">
        <w:rPr>
          <w:rFonts w:asciiTheme="minorHAnsi" w:hAnsiTheme="minorHAnsi"/>
        </w:rPr>
        <w:t xml:space="preserve"> </w:t>
      </w:r>
      <w:r w:rsidR="007F4CD5">
        <w:rPr>
          <w:rFonts w:asciiTheme="minorHAnsi" w:hAnsiTheme="minorHAnsi"/>
        </w:rPr>
        <w:t>was entitled ‘Late Medieval Approaches’</w:t>
      </w:r>
      <w:r>
        <w:rPr>
          <w:rFonts w:asciiTheme="minorHAnsi" w:hAnsiTheme="minorHAnsi"/>
        </w:rPr>
        <w:t xml:space="preserve"> </w:t>
      </w:r>
      <w:r w:rsidR="007C3DD8">
        <w:rPr>
          <w:rFonts w:asciiTheme="minorHAnsi" w:hAnsiTheme="minorHAnsi"/>
        </w:rPr>
        <w:t>(for speakers and titles, please see ‘programme details’ below)</w:t>
      </w:r>
      <w:r w:rsidR="007F4CD5">
        <w:rPr>
          <w:rFonts w:asciiTheme="minorHAnsi" w:hAnsiTheme="minorHAnsi"/>
        </w:rPr>
        <w:t>.</w:t>
      </w:r>
      <w:r w:rsidR="007C3DD8">
        <w:rPr>
          <w:rFonts w:asciiTheme="minorHAnsi" w:hAnsiTheme="minorHAnsi"/>
        </w:rPr>
        <w:t xml:space="preserve"> </w:t>
      </w:r>
      <w:r w:rsidR="00912E63">
        <w:rPr>
          <w:rFonts w:asciiTheme="minorHAnsi" w:hAnsiTheme="minorHAnsi"/>
        </w:rPr>
        <w:t xml:space="preserve"> </w:t>
      </w:r>
      <w:r w:rsidR="00DF0E35">
        <w:rPr>
          <w:rFonts w:asciiTheme="minorHAnsi" w:hAnsiTheme="minorHAnsi"/>
        </w:rPr>
        <w:t>S</w:t>
      </w:r>
      <w:r w:rsidR="00806A0F">
        <w:rPr>
          <w:rFonts w:asciiTheme="minorHAnsi" w:hAnsiTheme="minorHAnsi"/>
        </w:rPr>
        <w:t>tart</w:t>
      </w:r>
      <w:r w:rsidR="00DF0E35">
        <w:rPr>
          <w:rFonts w:asciiTheme="minorHAnsi" w:hAnsiTheme="minorHAnsi"/>
        </w:rPr>
        <w:t>ing</w:t>
      </w:r>
      <w:r w:rsidR="00806A0F">
        <w:rPr>
          <w:rFonts w:asciiTheme="minorHAnsi" w:hAnsiTheme="minorHAnsi"/>
        </w:rPr>
        <w:t xml:space="preserve"> in the Kingdom of Bohemia</w:t>
      </w:r>
      <w:r w:rsidR="00077016">
        <w:rPr>
          <w:rFonts w:asciiTheme="minorHAnsi" w:hAnsiTheme="minorHAnsi"/>
        </w:rPr>
        <w:t xml:space="preserve">, we explored a project that focussed on the reconstruction and </w:t>
      </w:r>
      <w:r w:rsidR="002458EA">
        <w:rPr>
          <w:rFonts w:asciiTheme="minorHAnsi" w:hAnsiTheme="minorHAnsi"/>
        </w:rPr>
        <w:t>analysis of the medieval parish network before the Hussite Wars.</w:t>
      </w:r>
      <w:r w:rsidR="00077016">
        <w:rPr>
          <w:rFonts w:asciiTheme="minorHAnsi" w:hAnsiTheme="minorHAnsi"/>
        </w:rPr>
        <w:t xml:space="preserve"> </w:t>
      </w:r>
      <w:r w:rsidR="0095083C">
        <w:rPr>
          <w:rFonts w:asciiTheme="minorHAnsi" w:hAnsiTheme="minorHAnsi"/>
        </w:rPr>
        <w:t xml:space="preserve"> </w:t>
      </w:r>
      <w:r w:rsidR="000E7831">
        <w:rPr>
          <w:rFonts w:asciiTheme="minorHAnsi" w:hAnsiTheme="minorHAnsi"/>
        </w:rPr>
        <w:t xml:space="preserve">Visitation records from the Dean and Chapter of Lincoln were then considered in relation to how </w:t>
      </w:r>
      <w:r w:rsidR="002458EA">
        <w:rPr>
          <w:rFonts w:asciiTheme="minorHAnsi" w:hAnsiTheme="minorHAnsi"/>
        </w:rPr>
        <w:t xml:space="preserve">Church Courts managed recidivist sexual and moral offending.  </w:t>
      </w:r>
      <w:r w:rsidR="00E233F8">
        <w:rPr>
          <w:rFonts w:asciiTheme="minorHAnsi" w:hAnsiTheme="minorHAnsi"/>
        </w:rPr>
        <w:t>Then</w:t>
      </w:r>
      <w:r w:rsidR="00856331">
        <w:rPr>
          <w:rFonts w:asciiTheme="minorHAnsi" w:hAnsiTheme="minorHAnsi"/>
        </w:rPr>
        <w:t xml:space="preserve">, </w:t>
      </w:r>
      <w:r w:rsidR="00E233F8">
        <w:rPr>
          <w:rFonts w:asciiTheme="minorHAnsi" w:hAnsiTheme="minorHAnsi"/>
        </w:rPr>
        <w:t xml:space="preserve">the findings of </w:t>
      </w:r>
      <w:r w:rsidR="002458EA">
        <w:rPr>
          <w:rFonts w:asciiTheme="minorHAnsi" w:hAnsiTheme="minorHAnsi"/>
        </w:rPr>
        <w:t>the late medieval parish network of the Kingdom of Hungary as a spatial framework for integrating and analysing diverse historical data, which focused on two interconnected datasets</w:t>
      </w:r>
      <w:r w:rsidR="00E233F8">
        <w:rPr>
          <w:rFonts w:asciiTheme="minorHAnsi" w:hAnsiTheme="minorHAnsi"/>
        </w:rPr>
        <w:t xml:space="preserve">.  </w:t>
      </w:r>
      <w:r w:rsidR="007D0290">
        <w:rPr>
          <w:rFonts w:asciiTheme="minorHAnsi" w:hAnsiTheme="minorHAnsi"/>
        </w:rPr>
        <w:t xml:space="preserve">Our medieval European tour concluded with a </w:t>
      </w:r>
      <w:r w:rsidR="002458EA">
        <w:rPr>
          <w:rFonts w:asciiTheme="minorHAnsi" w:hAnsiTheme="minorHAnsi"/>
        </w:rPr>
        <w:t>discuss</w:t>
      </w:r>
      <w:r w:rsidR="007D0290">
        <w:rPr>
          <w:rFonts w:asciiTheme="minorHAnsi" w:hAnsiTheme="minorHAnsi"/>
        </w:rPr>
        <w:t>ion of the</w:t>
      </w:r>
      <w:r w:rsidR="002458EA">
        <w:rPr>
          <w:rFonts w:asciiTheme="minorHAnsi" w:hAnsiTheme="minorHAnsi"/>
        </w:rPr>
        <w:t xml:space="preserve"> registers kept in the Diocese of Basel during the fifteenth century</w:t>
      </w:r>
      <w:r w:rsidR="002C477C">
        <w:rPr>
          <w:rFonts w:asciiTheme="minorHAnsi" w:hAnsiTheme="minorHAnsi"/>
        </w:rPr>
        <w:t xml:space="preserve">, the employment patterns and the </w:t>
      </w:r>
      <w:r w:rsidR="002458EA">
        <w:rPr>
          <w:rFonts w:asciiTheme="minorHAnsi" w:hAnsiTheme="minorHAnsi"/>
        </w:rPr>
        <w:t xml:space="preserve">insights into socio-historical dimensions of the local lower clergy through the methodical approach of digital prosopography.  </w:t>
      </w:r>
    </w:p>
    <w:p w14:paraId="5B32B71D" w14:textId="7DC6CC20" w:rsidR="002458EA" w:rsidRDefault="002458EA" w:rsidP="002458EA">
      <w:pPr>
        <w:rPr>
          <w:rFonts w:cs="Calibri"/>
          <w:sz w:val="24"/>
          <w:szCs w:val="24"/>
        </w:rPr>
      </w:pPr>
      <w:r>
        <w:rPr>
          <w:sz w:val="24"/>
          <w:szCs w:val="24"/>
        </w:rPr>
        <w:t xml:space="preserve">The second </w:t>
      </w:r>
      <w:r w:rsidR="0013356F">
        <w:rPr>
          <w:sz w:val="24"/>
          <w:szCs w:val="24"/>
        </w:rPr>
        <w:t>panel</w:t>
      </w:r>
      <w:r>
        <w:rPr>
          <w:sz w:val="24"/>
          <w:szCs w:val="24"/>
        </w:rPr>
        <w:t xml:space="preserve"> </w:t>
      </w:r>
      <w:r w:rsidR="0013356F">
        <w:rPr>
          <w:sz w:val="24"/>
          <w:szCs w:val="24"/>
        </w:rPr>
        <w:t>of two papers</w:t>
      </w:r>
      <w:r w:rsidR="00A95FB5">
        <w:rPr>
          <w:sz w:val="24"/>
          <w:szCs w:val="24"/>
        </w:rPr>
        <w:t xml:space="preserve"> was entitled ‘Community Perspective</w:t>
      </w:r>
      <w:r w:rsidR="00686936">
        <w:rPr>
          <w:sz w:val="24"/>
          <w:szCs w:val="24"/>
        </w:rPr>
        <w:t>s</w:t>
      </w:r>
      <w:r w:rsidR="00A95FB5">
        <w:rPr>
          <w:sz w:val="24"/>
          <w:szCs w:val="24"/>
        </w:rPr>
        <w:t xml:space="preserve">’.  The first paper </w:t>
      </w:r>
      <w:r>
        <w:rPr>
          <w:sz w:val="24"/>
          <w:szCs w:val="24"/>
        </w:rPr>
        <w:t xml:space="preserve">gave us an overview of the difficulties and issues faced by historians when trying to interpret and quantify trends when there are gaps in knowledge and specificity. </w:t>
      </w:r>
      <w:r w:rsidR="00A95FB5">
        <w:rPr>
          <w:sz w:val="24"/>
          <w:szCs w:val="24"/>
        </w:rPr>
        <w:t xml:space="preserve"> The second papers </w:t>
      </w:r>
      <w:r>
        <w:rPr>
          <w:rFonts w:cs="Calibri"/>
          <w:sz w:val="24"/>
          <w:szCs w:val="24"/>
        </w:rPr>
        <w:t>examin</w:t>
      </w:r>
      <w:r w:rsidR="00A95FB5">
        <w:rPr>
          <w:rFonts w:cs="Calibri"/>
          <w:sz w:val="24"/>
          <w:szCs w:val="24"/>
        </w:rPr>
        <w:t>ed</w:t>
      </w:r>
      <w:r>
        <w:rPr>
          <w:rFonts w:cs="Calibri"/>
          <w:sz w:val="24"/>
          <w:szCs w:val="24"/>
        </w:rPr>
        <w:t xml:space="preserve"> a dataset extracted from the 17</w:t>
      </w:r>
      <w:r>
        <w:rPr>
          <w:rFonts w:cs="Calibri"/>
          <w:sz w:val="24"/>
          <w:szCs w:val="24"/>
          <w:vertAlign w:val="superscript"/>
        </w:rPr>
        <w:t xml:space="preserve">th </w:t>
      </w:r>
      <w:r>
        <w:rPr>
          <w:rFonts w:cs="Calibri"/>
          <w:sz w:val="24"/>
          <w:szCs w:val="24"/>
        </w:rPr>
        <w:t>century sacramental records of the Parish of Bethlehem in</w:t>
      </w:r>
      <w:r>
        <w:rPr>
          <w:rFonts w:cs="Calibri"/>
          <w:sz w:val="24"/>
          <w:szCs w:val="24"/>
          <w:shd w:val="clear" w:color="auto" w:fill="FFFFFF"/>
        </w:rPr>
        <w:t xml:space="preserve"> Palestine</w:t>
      </w:r>
      <w:r w:rsidR="00A95FB5">
        <w:rPr>
          <w:rFonts w:cs="Calibri"/>
          <w:sz w:val="24"/>
          <w:szCs w:val="24"/>
          <w:shd w:val="clear" w:color="auto" w:fill="FFFFFF"/>
        </w:rPr>
        <w:t>, evaluating t</w:t>
      </w:r>
      <w:r>
        <w:rPr>
          <w:rFonts w:cs="Calibri"/>
          <w:sz w:val="24"/>
          <w:szCs w:val="24"/>
        </w:rPr>
        <w:t xml:space="preserve">he potential and shortcomings of those records for quantitative and qualitative analyses.  </w:t>
      </w:r>
    </w:p>
    <w:p w14:paraId="43A7C8B9" w14:textId="5FE28B5D" w:rsidR="002458EA" w:rsidRPr="00711631" w:rsidRDefault="00A95FB5" w:rsidP="002458EA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  <w:lang w:val="en-US"/>
        </w:rPr>
        <w:t>The third panel held under the title ‘Central European Data’</w:t>
      </w:r>
      <w:r w:rsidR="0096137B">
        <w:rPr>
          <w:rFonts w:cs="Calibri"/>
          <w:sz w:val="24"/>
          <w:szCs w:val="24"/>
          <w:lang w:val="en-US"/>
        </w:rPr>
        <w:t xml:space="preserve">, opened with an </w:t>
      </w:r>
      <w:r w:rsidR="002458EA">
        <w:rPr>
          <w:rFonts w:cs="Calibri"/>
          <w:sz w:val="24"/>
          <w:szCs w:val="24"/>
          <w:lang w:val="en-US"/>
        </w:rPr>
        <w:t>examin</w:t>
      </w:r>
      <w:r w:rsidR="0096137B">
        <w:rPr>
          <w:rFonts w:cs="Calibri"/>
          <w:sz w:val="24"/>
          <w:szCs w:val="24"/>
          <w:lang w:val="en-US"/>
        </w:rPr>
        <w:t>ation of</w:t>
      </w:r>
      <w:r w:rsidR="002458EA">
        <w:rPr>
          <w:rFonts w:cs="Calibri"/>
          <w:sz w:val="24"/>
          <w:szCs w:val="24"/>
          <w:lang w:val="en-US"/>
        </w:rPr>
        <w:t xml:space="preserve"> how</w:t>
      </w:r>
      <w:r w:rsidR="00FB2FDE">
        <w:rPr>
          <w:rFonts w:cs="Calibri"/>
          <w:sz w:val="24"/>
          <w:szCs w:val="24"/>
          <w:lang w:val="en-US"/>
        </w:rPr>
        <w:t xml:space="preserve"> the Polish</w:t>
      </w:r>
      <w:r w:rsidR="002458EA">
        <w:rPr>
          <w:rFonts w:cs="Calibri"/>
          <w:sz w:val="24"/>
          <w:szCs w:val="24"/>
          <w:lang w:val="en-US"/>
        </w:rPr>
        <w:t xml:space="preserve"> parish churches are represented in the records of the Kalisz consistory court from the first half of the sixteenth century. </w:t>
      </w:r>
      <w:r w:rsidR="00B3026A">
        <w:rPr>
          <w:rFonts w:cs="Calibri"/>
          <w:sz w:val="24"/>
          <w:szCs w:val="24"/>
          <w:lang w:val="en-US"/>
        </w:rPr>
        <w:t xml:space="preserve"> </w:t>
      </w:r>
      <w:r w:rsidR="004B7499">
        <w:rPr>
          <w:rFonts w:cs="Calibri"/>
          <w:sz w:val="24"/>
          <w:szCs w:val="24"/>
          <w:lang w:val="en-US"/>
        </w:rPr>
        <w:t>T</w:t>
      </w:r>
      <w:r w:rsidR="00CE1A1B">
        <w:rPr>
          <w:rFonts w:cs="Calibri"/>
          <w:sz w:val="24"/>
          <w:szCs w:val="24"/>
          <w:lang w:val="en-US"/>
        </w:rPr>
        <w:t xml:space="preserve">he next paper considered </w:t>
      </w:r>
      <w:r w:rsidR="00436E96">
        <w:rPr>
          <w:rFonts w:cs="Calibri"/>
          <w:sz w:val="24"/>
          <w:szCs w:val="24"/>
          <w:lang w:val="en-US"/>
        </w:rPr>
        <w:t xml:space="preserve">how using Linked Open Data </w:t>
      </w:r>
      <w:r w:rsidR="002458EA">
        <w:rPr>
          <w:rFonts w:cs="Calibri"/>
          <w:sz w:val="24"/>
          <w:szCs w:val="24"/>
        </w:rPr>
        <w:t>to model the careers of early modern parish clergy in Lesser Poland highlight</w:t>
      </w:r>
      <w:r w:rsidR="00436E96">
        <w:rPr>
          <w:rFonts w:cs="Calibri"/>
          <w:sz w:val="24"/>
          <w:szCs w:val="24"/>
        </w:rPr>
        <w:t>s</w:t>
      </w:r>
      <w:r w:rsidR="002458EA">
        <w:rPr>
          <w:rFonts w:cs="Calibri"/>
          <w:sz w:val="24"/>
          <w:szCs w:val="24"/>
        </w:rPr>
        <w:t xml:space="preserve"> key methodological challenges, including uncertainty, chronological gaps, and the complexity of institutional hierarchies. </w:t>
      </w:r>
      <w:r w:rsidR="00A70FEF">
        <w:rPr>
          <w:rFonts w:cs="Calibri"/>
          <w:sz w:val="24"/>
          <w:szCs w:val="24"/>
        </w:rPr>
        <w:t xml:space="preserve"> </w:t>
      </w:r>
      <w:r w:rsidR="001452FF">
        <w:rPr>
          <w:rFonts w:cs="Calibri"/>
          <w:sz w:val="24"/>
          <w:szCs w:val="24"/>
        </w:rPr>
        <w:t>Staying in Poland, a</w:t>
      </w:r>
      <w:r w:rsidR="00A70FEF">
        <w:rPr>
          <w:rFonts w:cs="Calibri"/>
          <w:sz w:val="24"/>
          <w:szCs w:val="24"/>
        </w:rPr>
        <w:t xml:space="preserve"> database</w:t>
      </w:r>
      <w:r w:rsidR="002458EA">
        <w:rPr>
          <w:rFonts w:cs="Calibri"/>
          <w:sz w:val="24"/>
          <w:szCs w:val="24"/>
          <w:lang w:val="en-US"/>
        </w:rPr>
        <w:t xml:space="preserve"> designed to study church servants in the Diocese of Krakow from the sixteenth to the eighteenth century</w:t>
      </w:r>
      <w:r w:rsidR="00711631">
        <w:rPr>
          <w:rFonts w:cs="Calibri"/>
          <w:sz w:val="24"/>
          <w:szCs w:val="24"/>
          <w:lang w:val="en-US"/>
        </w:rPr>
        <w:t xml:space="preserve"> was then presented, which</w:t>
      </w:r>
      <w:r w:rsidR="002458EA">
        <w:rPr>
          <w:rFonts w:cs="Calibri"/>
          <w:sz w:val="24"/>
          <w:szCs w:val="24"/>
          <w:lang w:val="en-US"/>
        </w:rPr>
        <w:t xml:space="preserve"> aims to reconstruct individual careers, social origins, patterns of mobility, and the participation of women in parish service.</w:t>
      </w:r>
      <w:r w:rsidR="00711631">
        <w:rPr>
          <w:rFonts w:cs="Calibri"/>
          <w:sz w:val="24"/>
          <w:szCs w:val="24"/>
          <w:lang w:val="en-US"/>
        </w:rPr>
        <w:t xml:space="preserve"> </w:t>
      </w:r>
      <w:r w:rsidR="001452FF">
        <w:rPr>
          <w:rFonts w:cs="Calibri"/>
          <w:sz w:val="24"/>
          <w:szCs w:val="24"/>
          <w:lang w:val="en-US"/>
        </w:rPr>
        <w:t>M</w:t>
      </w:r>
      <w:r w:rsidR="00711631">
        <w:rPr>
          <w:rFonts w:cs="Calibri"/>
          <w:sz w:val="24"/>
          <w:szCs w:val="24"/>
          <w:lang w:val="en-US"/>
        </w:rPr>
        <w:t>ov</w:t>
      </w:r>
      <w:r w:rsidR="001452FF">
        <w:rPr>
          <w:rFonts w:cs="Calibri"/>
          <w:sz w:val="24"/>
          <w:szCs w:val="24"/>
          <w:lang w:val="en-US"/>
        </w:rPr>
        <w:t>ing</w:t>
      </w:r>
      <w:r w:rsidR="00711631">
        <w:rPr>
          <w:rFonts w:cs="Calibri"/>
          <w:sz w:val="24"/>
          <w:szCs w:val="24"/>
          <w:lang w:val="en-US"/>
        </w:rPr>
        <w:t xml:space="preserve"> to Hungary for the final paper, an </w:t>
      </w:r>
      <w:r w:rsidR="002458EA">
        <w:rPr>
          <w:rFonts w:cs="Calibri"/>
          <w:sz w:val="24"/>
          <w:szCs w:val="24"/>
          <w:lang w:val="en-US"/>
        </w:rPr>
        <w:t>analys</w:t>
      </w:r>
      <w:r w:rsidR="00711631">
        <w:rPr>
          <w:rFonts w:cs="Calibri"/>
          <w:sz w:val="24"/>
          <w:szCs w:val="24"/>
          <w:lang w:val="en-US"/>
        </w:rPr>
        <w:t xml:space="preserve">is </w:t>
      </w:r>
      <w:r w:rsidR="00345831">
        <w:rPr>
          <w:rFonts w:cs="Calibri"/>
          <w:sz w:val="24"/>
          <w:szCs w:val="24"/>
          <w:lang w:val="en-US"/>
        </w:rPr>
        <w:t xml:space="preserve">was given </w:t>
      </w:r>
      <w:r w:rsidR="00711631">
        <w:rPr>
          <w:rFonts w:cs="Calibri"/>
          <w:sz w:val="24"/>
          <w:szCs w:val="24"/>
          <w:lang w:val="en-US"/>
        </w:rPr>
        <w:t>of</w:t>
      </w:r>
      <w:r w:rsidR="002458EA">
        <w:rPr>
          <w:rFonts w:cs="Calibri"/>
          <w:sz w:val="24"/>
          <w:szCs w:val="24"/>
          <w:lang w:val="en-US"/>
        </w:rPr>
        <w:t xml:space="preserve"> demographic patterns </w:t>
      </w:r>
      <w:r w:rsidR="00C26A05">
        <w:rPr>
          <w:rFonts w:cs="Calibri"/>
          <w:sz w:val="24"/>
          <w:szCs w:val="24"/>
          <w:lang w:val="en-US"/>
        </w:rPr>
        <w:t xml:space="preserve">of confessional difference </w:t>
      </w:r>
      <w:r w:rsidR="002458EA">
        <w:rPr>
          <w:rFonts w:cs="Calibri"/>
          <w:sz w:val="24"/>
          <w:szCs w:val="24"/>
          <w:lang w:val="en-US"/>
        </w:rPr>
        <w:t xml:space="preserve">in Catholic and Reformed communities in eighteenth-century Central Hungary using parish records from Pély and Átány. </w:t>
      </w:r>
    </w:p>
    <w:p w14:paraId="41D4F87C" w14:textId="78E38387" w:rsidR="002458EA" w:rsidRPr="008F39E8" w:rsidRDefault="002458EA" w:rsidP="002458EA">
      <w:pPr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</w:pPr>
      <w:r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lastRenderedPageBreak/>
        <w:br/>
        <w:t xml:space="preserve">The final session </w:t>
      </w:r>
      <w:r w:rsidR="008F39E8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of two papers </w:t>
      </w:r>
      <w:r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was </w:t>
      </w:r>
      <w:r w:rsidR="00BF1640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>entitled ‘Bi</w:t>
      </w:r>
      <w:r w:rsidR="00EF16B8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>g</w:t>
      </w:r>
      <w:r w:rsidR="00BF1640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 Data Processing’</w:t>
      </w:r>
      <w:r w:rsidR="00EF16B8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.  </w:t>
      </w:r>
      <w:r w:rsidR="00112EAB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>The first paper gave examples</w:t>
      </w:r>
      <w:r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 from the Polish context, </w:t>
      </w:r>
      <w:r w:rsidR="00112EAB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>and</w:t>
      </w:r>
      <w:r>
        <w:rPr>
          <w:sz w:val="24"/>
          <w:szCs w:val="24"/>
        </w:rPr>
        <w:t xml:space="preserve"> explained that there is no such thing as "objective data</w:t>
      </w:r>
      <w:r w:rsidR="00112EAB">
        <w:rPr>
          <w:sz w:val="24"/>
          <w:szCs w:val="24"/>
        </w:rPr>
        <w:t>”</w:t>
      </w:r>
      <w:r>
        <w:rPr>
          <w:sz w:val="24"/>
          <w:szCs w:val="24"/>
        </w:rPr>
        <w:t xml:space="preserve">. </w:t>
      </w:r>
      <w:r w:rsidR="00112EAB">
        <w:rPr>
          <w:sz w:val="24"/>
          <w:szCs w:val="24"/>
        </w:rPr>
        <w:t xml:space="preserve"> </w:t>
      </w:r>
      <w:r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The symposium concluded with </w:t>
      </w:r>
      <w:r w:rsidR="00825A0B"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 xml:space="preserve">a presentation of </w:t>
      </w:r>
      <w:r>
        <w:rPr>
          <w:rFonts w:eastAsia="Times New Roman" w:cs="Arial"/>
          <w:sz w:val="24"/>
          <w:szCs w:val="24"/>
          <w:bdr w:val="none" w:sz="0" w:space="0" w:color="auto" w:frame="1"/>
          <w:lang w:eastAsia="en-GB"/>
        </w:rPr>
        <w:t>the Hearth Tax digital project for Chester and Hertfordshire (1662–1664) as a way to recover women’s presence in seventeenth-century local society through tax registers</w:t>
      </w:r>
      <w:r w:rsidR="00825A0B">
        <w:rPr>
          <w:rFonts w:eastAsia="Times New Roman" w:cs="Arial"/>
          <w:sz w:val="24"/>
          <w:szCs w:val="24"/>
          <w:lang w:eastAsia="en-GB"/>
        </w:rPr>
        <w:t>, using</w:t>
      </w:r>
      <w:r>
        <w:rPr>
          <w:rFonts w:eastAsia="Times New Roman" w:cs="Arial"/>
          <w:sz w:val="24"/>
          <w:szCs w:val="24"/>
          <w:lang w:eastAsia="en-GB"/>
        </w:rPr>
        <w:t xml:space="preserve"> a range of digital tools, including Ancestry searches, text encoding with TEI-XML and GIS mapping.</w:t>
      </w:r>
    </w:p>
    <w:p w14:paraId="224D8BC2" w14:textId="77777777" w:rsidR="002458EA" w:rsidRDefault="002458EA" w:rsidP="002458EA">
      <w:pPr>
        <w:shd w:val="clear" w:color="auto" w:fill="FFFFFF"/>
        <w:spacing w:after="0" w:line="240" w:lineRule="auto"/>
        <w:textAlignment w:val="baseline"/>
        <w:rPr>
          <w:rFonts w:eastAsia="Times New Roman" w:cs="Arial"/>
          <w:sz w:val="24"/>
          <w:szCs w:val="24"/>
          <w:lang w:eastAsia="en-GB"/>
        </w:rPr>
      </w:pPr>
    </w:p>
    <w:p w14:paraId="13F75BBC" w14:textId="4209EF58" w:rsidR="002458EA" w:rsidRDefault="002458EA" w:rsidP="002458EA">
      <w:pPr>
        <w:shd w:val="clear" w:color="auto" w:fill="FFFFFF"/>
        <w:spacing w:after="0" w:line="240" w:lineRule="auto"/>
        <w:textAlignment w:val="baseline"/>
        <w:rPr>
          <w:rFonts w:eastAsia="Times New Roman" w:cs="Arial"/>
          <w:sz w:val="24"/>
          <w:szCs w:val="24"/>
          <w:lang w:eastAsia="en-GB"/>
        </w:rPr>
      </w:pPr>
      <w:r>
        <w:rPr>
          <w:rFonts w:eastAsia="Times New Roman" w:cs="Arial"/>
          <w:sz w:val="24"/>
          <w:szCs w:val="24"/>
          <w:lang w:eastAsia="en-GB"/>
        </w:rPr>
        <w:t>The lively concluding discussion</w:t>
      </w:r>
      <w:r w:rsidR="00343636">
        <w:rPr>
          <w:rFonts w:eastAsia="Times New Roman" w:cs="Arial"/>
          <w:sz w:val="24"/>
          <w:szCs w:val="24"/>
          <w:lang w:eastAsia="en-GB"/>
        </w:rPr>
        <w:t xml:space="preserve"> </w:t>
      </w:r>
      <w:r>
        <w:rPr>
          <w:rFonts w:eastAsia="Times New Roman" w:cs="Arial"/>
          <w:sz w:val="24"/>
          <w:szCs w:val="24"/>
          <w:lang w:eastAsia="en-GB"/>
        </w:rPr>
        <w:t xml:space="preserve">reviewed a wide range of prominent discussion points, from striking an appropriate balance between traditional source critique / new Digital Humanities skills via ways to enhance awareness of ongoing projects and ensuring their long-term viability to the desirability (or not) of some further central direction of research initiatives.  </w:t>
      </w:r>
      <w:r>
        <w:rPr>
          <w:rFonts w:eastAsia="Times New Roman" w:cs="Calibri"/>
          <w:sz w:val="24"/>
          <w:szCs w:val="24"/>
          <w:bdr w:val="none" w:sz="0" w:space="0" w:color="auto" w:frame="1"/>
          <w:lang w:eastAsia="en-GB"/>
        </w:rPr>
        <w:t>This debate continues with follow-on contributions posted on the Symposium website, which can be accessed at: </w:t>
      </w:r>
      <w:hyperlink r:id="rId5" w:tgtFrame="_blank" w:tooltip="Original URL: http://go.warwick.ac.uk/my-parish/parishsymposia/data/. Click or tap if you trust this link." w:history="1">
        <w:r>
          <w:rPr>
            <w:rStyle w:val="Hyperlink"/>
            <w:rFonts w:eastAsia="Times New Roman" w:cs="Calibri"/>
            <w:color w:val="auto"/>
            <w:sz w:val="24"/>
            <w:szCs w:val="24"/>
            <w:bdr w:val="none" w:sz="0" w:space="0" w:color="auto" w:frame="1"/>
            <w:lang w:eastAsia="en-GB"/>
          </w:rPr>
          <w:t>http://go.warwick.ac.uk/my-parish/parishsymposia/data/</w:t>
        </w:r>
      </w:hyperlink>
      <w:r>
        <w:rPr>
          <w:rFonts w:eastAsia="Times New Roman" w:cs="Calibri"/>
          <w:sz w:val="24"/>
          <w:szCs w:val="24"/>
          <w:lang w:eastAsia="en-GB"/>
        </w:rPr>
        <w:t>.</w:t>
      </w:r>
    </w:p>
    <w:p w14:paraId="1386EF00" w14:textId="77777777" w:rsidR="002458EA" w:rsidRPr="00E70371" w:rsidRDefault="002458EA" w:rsidP="002458EA">
      <w:pPr>
        <w:rPr>
          <w:sz w:val="24"/>
          <w:szCs w:val="24"/>
        </w:rPr>
      </w:pPr>
    </w:p>
    <w:p w14:paraId="22246D90" w14:textId="3A5328CE" w:rsidR="00031F43" w:rsidRPr="00E70371" w:rsidRDefault="00031F43" w:rsidP="002458EA">
      <w:pPr>
        <w:rPr>
          <w:sz w:val="24"/>
          <w:szCs w:val="24"/>
        </w:rPr>
      </w:pPr>
      <w:r w:rsidRPr="00E70371">
        <w:rPr>
          <w:sz w:val="24"/>
          <w:szCs w:val="24"/>
        </w:rPr>
        <w:t xml:space="preserve">The organisers gratefully acknowledge the generous support of </w:t>
      </w:r>
      <w:r w:rsidR="007F2F09" w:rsidRPr="00E70371">
        <w:rPr>
          <w:sz w:val="24"/>
          <w:szCs w:val="24"/>
        </w:rPr>
        <w:t>the My-Parish Network, Warwick’s Humanities Research Centre, History Department and European History Research Centre and the Institute for the Historical Geography of the Church in Poland</w:t>
      </w:r>
      <w:r w:rsidRPr="00E70371">
        <w:rPr>
          <w:sz w:val="24"/>
          <w:szCs w:val="24"/>
        </w:rPr>
        <w:t>; the help from Sue Rae; as well as the contributions of all session chairs and online/in</w:t>
      </w:r>
      <w:r w:rsidR="00E70371" w:rsidRPr="00E70371">
        <w:rPr>
          <w:sz w:val="24"/>
          <w:szCs w:val="24"/>
        </w:rPr>
        <w:t xml:space="preserve"> </w:t>
      </w:r>
      <w:r w:rsidRPr="00E70371">
        <w:rPr>
          <w:sz w:val="24"/>
          <w:szCs w:val="24"/>
        </w:rPr>
        <w:t xml:space="preserve">person delegates. </w:t>
      </w:r>
    </w:p>
    <w:p w14:paraId="3A8B9337" w14:textId="77777777" w:rsidR="002458EA" w:rsidRDefault="002458EA" w:rsidP="002458EA">
      <w:pPr>
        <w:rPr>
          <w:sz w:val="24"/>
          <w:szCs w:val="24"/>
        </w:rPr>
      </w:pPr>
    </w:p>
    <w:p w14:paraId="179B7202" w14:textId="2CCCA131" w:rsidR="002458EA" w:rsidRDefault="002458EA" w:rsidP="002458E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Conference </w:t>
      </w:r>
      <w:r w:rsidR="001602E9">
        <w:rPr>
          <w:b/>
          <w:bCs/>
          <w:sz w:val="24"/>
          <w:szCs w:val="24"/>
        </w:rPr>
        <w:t>Programme</w:t>
      </w:r>
      <w:r>
        <w:rPr>
          <w:b/>
          <w:bCs/>
          <w:sz w:val="24"/>
          <w:szCs w:val="24"/>
        </w:rPr>
        <w:t>:</w:t>
      </w:r>
    </w:p>
    <w:p w14:paraId="41718613" w14:textId="77777777" w:rsidR="002458EA" w:rsidRDefault="002458EA" w:rsidP="002458EA">
      <w:pPr>
        <w:pStyle w:val="NormalWeb"/>
        <w:rPr>
          <w:rFonts w:asciiTheme="minorHAnsi" w:hAnsiTheme="minorHAnsi"/>
        </w:rPr>
      </w:pPr>
      <w:r>
        <w:rPr>
          <w:rFonts w:asciiTheme="minorHAnsi" w:hAnsiTheme="minorHAnsi"/>
        </w:rPr>
        <w:t>Welcome and Session 1 – Late Medieval Approaches</w:t>
      </w:r>
      <w:r>
        <w:rPr>
          <w:rFonts w:asciiTheme="minorHAnsi" w:hAnsiTheme="minorHAnsi"/>
        </w:rPr>
        <w:tab/>
        <w:t>Chair: Beat Kümin (Warwick)</w:t>
      </w:r>
    </w:p>
    <w:p w14:paraId="3B316E74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Anna Pazourková (Charles University Prague)</w:t>
      </w:r>
      <w:r>
        <w:rPr>
          <w:sz w:val="24"/>
          <w:szCs w:val="24"/>
        </w:rPr>
        <w:t>: Database of pre-Hussite Territorial Church Administration in Bohemia: Sources, Structure, and Research Potential</w:t>
      </w:r>
    </w:p>
    <w:p w14:paraId="72673307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Nicholas Ringwood (Waipapa Taumata Rau | the University of Auckland): </w:t>
      </w:r>
      <w:r>
        <w:rPr>
          <w:sz w:val="24"/>
          <w:szCs w:val="24"/>
        </w:rPr>
        <w:t>Quantifying Misconduct: DataBased Approaches to Recidivism in Late Medieval Church Court Proceedings</w:t>
      </w:r>
    </w:p>
    <w:p w14:paraId="7C1D7A0B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Beatrix F. Romhányi (Károli Gáspár University</w:t>
      </w:r>
      <w:r>
        <w:rPr>
          <w:sz w:val="24"/>
          <w:szCs w:val="24"/>
        </w:rPr>
        <w:t>): Parishes as Data Infrastructure: Reconstructing the Late Medieval Parish Network of the Kingdom of Hungary</w:t>
      </w:r>
    </w:p>
    <w:p w14:paraId="11DFE46C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Raphael Walker (University of Bern)</w:t>
      </w:r>
      <w:r>
        <w:rPr>
          <w:sz w:val="24"/>
          <w:szCs w:val="24"/>
        </w:rPr>
        <w:t>: Digital Prosopography in the Late Medieval Diocese of Basel: The lower Clergy of the Deaneries of Sisgau and Frickgau from 1460 to 1490</w:t>
      </w:r>
    </w:p>
    <w:p w14:paraId="554AB06A" w14:textId="77777777" w:rsidR="002458EA" w:rsidRDefault="002458EA" w:rsidP="002458EA">
      <w:pPr>
        <w:rPr>
          <w:sz w:val="24"/>
          <w:szCs w:val="24"/>
        </w:rPr>
      </w:pPr>
    </w:p>
    <w:p w14:paraId="2D5EC0A7" w14:textId="77777777" w:rsidR="002458EA" w:rsidRDefault="002458EA" w:rsidP="002458EA">
      <w:p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Session 2 – Community Perspectives</w:t>
      </w:r>
      <w:r>
        <w:rPr>
          <w:sz w:val="24"/>
          <w:szCs w:val="24"/>
          <w:lang w:val="fr-FR"/>
        </w:rPr>
        <w:tab/>
        <w:t>Chair:</w:t>
      </w:r>
      <w:r>
        <w:rPr>
          <w:rFonts w:ascii="Aptos" w:hAnsi="Aptos"/>
          <w:sz w:val="24"/>
          <w:szCs w:val="24"/>
          <w:shd w:val="clear" w:color="auto" w:fill="FFFFFF"/>
          <w:lang w:val="fr-FR"/>
        </w:rPr>
        <w:t xml:space="preserve"> Jeanne Dufresne &amp; Daniel Meldon</w:t>
      </w:r>
    </w:p>
    <w:p w14:paraId="2711A0F5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Robert Swanson (University of Birmingham)</w:t>
      </w:r>
      <w:r>
        <w:rPr>
          <w:sz w:val="24"/>
          <w:szCs w:val="24"/>
        </w:rPr>
        <w:t xml:space="preserve">: Small Data for Small Worlds: Recording the Medieval English Parish </w:t>
      </w:r>
    </w:p>
    <w:p w14:paraId="6A58AC1F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>Felicita Tramontana (Roma Tre University)</w:t>
      </w:r>
      <w:r>
        <w:rPr>
          <w:sz w:val="24"/>
          <w:szCs w:val="24"/>
        </w:rPr>
        <w:t>: Data-Driven Insights from the Sacramental Records of Seventeenth-Century Bethlehem</w:t>
      </w:r>
    </w:p>
    <w:p w14:paraId="66D00849" w14:textId="77777777" w:rsidR="002458EA" w:rsidRDefault="002458EA" w:rsidP="002458EA">
      <w:pPr>
        <w:rPr>
          <w:sz w:val="24"/>
          <w:szCs w:val="24"/>
        </w:rPr>
      </w:pPr>
    </w:p>
    <w:p w14:paraId="55DACF5B" w14:textId="77777777" w:rsidR="002458EA" w:rsidRDefault="002458EA" w:rsidP="002458EA">
      <w:pPr>
        <w:rPr>
          <w:sz w:val="24"/>
          <w:szCs w:val="24"/>
        </w:rPr>
      </w:pPr>
      <w:r>
        <w:rPr>
          <w:sz w:val="24"/>
          <w:szCs w:val="24"/>
        </w:rPr>
        <w:t>Session 3 – Central European Data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Chair: </w:t>
      </w:r>
      <w:r>
        <w:rPr>
          <w:rFonts w:ascii="Aptos" w:hAnsi="Aptos"/>
          <w:sz w:val="24"/>
          <w:szCs w:val="24"/>
          <w:shd w:val="clear" w:color="auto" w:fill="FFFFFF"/>
        </w:rPr>
        <w:t xml:space="preserve"> Marek Słoń</w:t>
      </w:r>
    </w:p>
    <w:p w14:paraId="4651B30B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Arkadiusz Borek (Polish Academy of Sciences)</w:t>
      </w:r>
      <w:r>
        <w:rPr>
          <w:sz w:val="24"/>
          <w:szCs w:val="24"/>
        </w:rPr>
        <w:t>: The Visibility of Parish Churches in Local Consistory Court Records in Poland: A Case Study of the Kalisz Consistory</w:t>
      </w:r>
    </w:p>
    <w:p w14:paraId="474E96CB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Artur Karpacz (John Paul II Catholic University of Lublin)</w:t>
      </w:r>
      <w:r>
        <w:rPr>
          <w:sz w:val="24"/>
          <w:szCs w:val="24"/>
        </w:rPr>
        <w:t xml:space="preserve">: What to Do with All That Data? Opportunities and Challenges in Modelling Early Modern Clergy Biographies in Lesser Poland with Linked Open Data </w:t>
      </w:r>
    </w:p>
    <w:p w14:paraId="2CFBD5DE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Konrad Kołodziejczyk (Polish Academy of Sciences):</w:t>
      </w:r>
      <w:r>
        <w:rPr>
          <w:sz w:val="24"/>
          <w:szCs w:val="24"/>
        </w:rPr>
        <w:t xml:space="preserve"> Methodological Foundations and Structure of a Database of Church Servants in the Diocese of Krakow (16th–18th Centuries) </w:t>
      </w:r>
    </w:p>
    <w:p w14:paraId="5448839C" w14:textId="77777777" w:rsidR="002458EA" w:rsidRDefault="002458EA" w:rsidP="002458EA">
      <w:pPr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Béla Vilmos Mihalik (Eötvös Loránd University): </w:t>
      </w:r>
      <w:r>
        <w:rPr>
          <w:sz w:val="24"/>
          <w:szCs w:val="24"/>
        </w:rPr>
        <w:t>Confessional Demographic Model? Parish Records, Historical Demography, and Recatholisation in Eighteenth-Century Hungary</w:t>
      </w:r>
    </w:p>
    <w:p w14:paraId="7CEDC8F7" w14:textId="77777777" w:rsidR="002458EA" w:rsidRDefault="002458EA" w:rsidP="002458EA">
      <w:pPr>
        <w:rPr>
          <w:sz w:val="24"/>
          <w:szCs w:val="24"/>
        </w:rPr>
      </w:pPr>
    </w:p>
    <w:p w14:paraId="4943AF01" w14:textId="77777777" w:rsidR="002458EA" w:rsidRDefault="002458EA" w:rsidP="002458EA">
      <w:pPr>
        <w:rPr>
          <w:sz w:val="24"/>
          <w:szCs w:val="24"/>
        </w:rPr>
      </w:pPr>
      <w:r>
        <w:rPr>
          <w:sz w:val="24"/>
          <w:szCs w:val="24"/>
        </w:rPr>
        <w:t>Session 4- Big Data Processing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Chairs: Artur Karpacz &amp; Lynn Marriott</w:t>
      </w:r>
    </w:p>
    <w:p w14:paraId="449D9C32" w14:textId="77777777" w:rsidR="002458EA" w:rsidRDefault="002458EA" w:rsidP="002458EA">
      <w:pPr>
        <w:pStyle w:val="NormalWeb"/>
        <w:shd w:val="clear" w:color="auto" w:fill="FFFFFF"/>
        <w:spacing w:before="0" w:beforeAutospacing="0" w:after="192" w:afterAutospacing="0"/>
        <w:rPr>
          <w:rFonts w:ascii="Aptos" w:hAnsi="Aptos"/>
        </w:rPr>
      </w:pPr>
      <w:r>
        <w:rPr>
          <w:rFonts w:ascii="Aptos" w:hAnsi="Aptos"/>
          <w:i/>
          <w:iCs/>
        </w:rPr>
        <w:t>Marek Słoń (John Paul II Catholic University of Lublin</w:t>
      </w:r>
      <w:r>
        <w:rPr>
          <w:rFonts w:ascii="Aptos" w:hAnsi="Aptos"/>
        </w:rPr>
        <w:t>): History Without Stories? Risk and Advantages of Big Parish Data</w:t>
      </w:r>
    </w:p>
    <w:p w14:paraId="6D7DF40A" w14:textId="77777777" w:rsidR="002458EA" w:rsidRDefault="002458EA" w:rsidP="002458EA">
      <w:pPr>
        <w:pStyle w:val="NormalWeb"/>
        <w:shd w:val="clear" w:color="auto" w:fill="FFFFFF"/>
        <w:spacing w:before="0" w:beforeAutospacing="0" w:after="192" w:afterAutospacing="0"/>
        <w:rPr>
          <w:rFonts w:ascii="Aptos" w:hAnsi="Aptos"/>
        </w:rPr>
      </w:pPr>
      <w:r>
        <w:rPr>
          <w:rFonts w:ascii="Aptos" w:hAnsi="Aptos"/>
          <w:i/>
          <w:iCs/>
        </w:rPr>
        <w:t>Andrew Wareham (University of Roehampton):</w:t>
      </w:r>
      <w:r>
        <w:rPr>
          <w:rFonts w:ascii="Aptos" w:hAnsi="Aptos"/>
        </w:rPr>
        <w:t xml:space="preserve"> Women’s Voices from the Seventeenth Century. Hearth Tax Digital - Chester and Hertfordshire 1662-1664</w:t>
      </w:r>
    </w:p>
    <w:p w14:paraId="14082796" w14:textId="77777777" w:rsidR="002458EA" w:rsidRDefault="002458EA" w:rsidP="002458EA">
      <w:pPr>
        <w:pStyle w:val="NormalWeb"/>
        <w:shd w:val="clear" w:color="auto" w:fill="FFFFFF"/>
        <w:spacing w:before="0" w:beforeAutospacing="0" w:after="192" w:afterAutospacing="0"/>
        <w:rPr>
          <w:rFonts w:ascii="Aptos" w:hAnsi="Aptos"/>
        </w:rPr>
      </w:pPr>
      <w:r>
        <w:rPr>
          <w:rFonts w:ascii="Aptos" w:hAnsi="Aptos"/>
        </w:rPr>
        <w:t> </w:t>
      </w:r>
    </w:p>
    <w:p w14:paraId="789DFF5F" w14:textId="65E13CC5" w:rsidR="00F7296C" w:rsidRDefault="001602E9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>
        <w:rPr>
          <w:rFonts w:asciiTheme="minorHAnsi" w:hAnsiTheme="minorHAnsi"/>
        </w:rPr>
        <w:t>Report by Lynn Marriott (PRG History)</w:t>
      </w:r>
    </w:p>
    <w:p w14:paraId="7A42DEC5" w14:textId="77777777" w:rsidR="00FE7B64" w:rsidRDefault="00FE7B6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p w14:paraId="44DB57AE" w14:textId="119942B2" w:rsidR="00FE7B64" w:rsidRDefault="00FE7B6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>
        <w:rPr>
          <w:rFonts w:asciiTheme="minorHAnsi" w:hAnsiTheme="minorHAnsi"/>
          <w:noProof/>
        </w:rPr>
        <w:lastRenderedPageBreak/>
        <w:drawing>
          <wp:inline distT="0" distB="0" distL="0" distR="0" wp14:anchorId="0CDBA4E8" wp14:editId="7252933E">
            <wp:extent cx="5977905" cy="2956560"/>
            <wp:effectExtent l="0" t="0" r="3810" b="0"/>
            <wp:docPr id="11259785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922" cy="29585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6C547E4" w14:textId="77777777" w:rsidR="00FE7B64" w:rsidRDefault="00FE7B6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p w14:paraId="55B6F33F" w14:textId="77777777" w:rsidR="00E30624" w:rsidRDefault="00E3062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p w14:paraId="6B71C7F0" w14:textId="4036E77E" w:rsidR="00E30624" w:rsidRDefault="00E3062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>
        <w:rPr>
          <w:rFonts w:asciiTheme="minorHAnsi" w:hAnsiTheme="minorHAnsi"/>
          <w:noProof/>
        </w:rPr>
        <w:drawing>
          <wp:inline distT="0" distB="0" distL="0" distR="0" wp14:anchorId="52FDA9A7" wp14:editId="39D9A9B0">
            <wp:extent cx="5631180" cy="4223385"/>
            <wp:effectExtent l="0" t="0" r="7620" b="5715"/>
            <wp:docPr id="77414358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4223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A260F8" w14:textId="12C86084" w:rsidR="00E30624" w:rsidRDefault="00E3062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p w14:paraId="70E5C594" w14:textId="77777777" w:rsidR="00E30624" w:rsidRPr="00883CC4" w:rsidRDefault="00E30624" w:rsidP="00883CC4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sectPr w:rsidR="00E30624" w:rsidRPr="00883C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8A1"/>
    <w:rsid w:val="00005890"/>
    <w:rsid w:val="00005EE6"/>
    <w:rsid w:val="00006E14"/>
    <w:rsid w:val="000178E9"/>
    <w:rsid w:val="00031F43"/>
    <w:rsid w:val="0004239E"/>
    <w:rsid w:val="00055089"/>
    <w:rsid w:val="00060D3F"/>
    <w:rsid w:val="000625C2"/>
    <w:rsid w:val="00064BFE"/>
    <w:rsid w:val="000702A5"/>
    <w:rsid w:val="00077016"/>
    <w:rsid w:val="000A118A"/>
    <w:rsid w:val="000A7719"/>
    <w:rsid w:val="000B374C"/>
    <w:rsid w:val="000B5228"/>
    <w:rsid w:val="000D1AC3"/>
    <w:rsid w:val="000D775D"/>
    <w:rsid w:val="000E7831"/>
    <w:rsid w:val="00100CAD"/>
    <w:rsid w:val="00112EAB"/>
    <w:rsid w:val="0011673B"/>
    <w:rsid w:val="0013356F"/>
    <w:rsid w:val="00141F9F"/>
    <w:rsid w:val="00143AAA"/>
    <w:rsid w:val="001452FF"/>
    <w:rsid w:val="001515C3"/>
    <w:rsid w:val="001602E9"/>
    <w:rsid w:val="00167AFB"/>
    <w:rsid w:val="00173AA7"/>
    <w:rsid w:val="001847D2"/>
    <w:rsid w:val="001A40EB"/>
    <w:rsid w:val="001C48D3"/>
    <w:rsid w:val="001D57F9"/>
    <w:rsid w:val="002135A3"/>
    <w:rsid w:val="002308BE"/>
    <w:rsid w:val="002407F1"/>
    <w:rsid w:val="002429A9"/>
    <w:rsid w:val="002458EA"/>
    <w:rsid w:val="002503E3"/>
    <w:rsid w:val="00256DE9"/>
    <w:rsid w:val="00262A84"/>
    <w:rsid w:val="00265DD8"/>
    <w:rsid w:val="00266A62"/>
    <w:rsid w:val="002817A9"/>
    <w:rsid w:val="00282307"/>
    <w:rsid w:val="00286F9A"/>
    <w:rsid w:val="002B0755"/>
    <w:rsid w:val="002C2979"/>
    <w:rsid w:val="002C477C"/>
    <w:rsid w:val="002C5A2D"/>
    <w:rsid w:val="00302B94"/>
    <w:rsid w:val="0031056B"/>
    <w:rsid w:val="003154E5"/>
    <w:rsid w:val="00324614"/>
    <w:rsid w:val="00343636"/>
    <w:rsid w:val="00345831"/>
    <w:rsid w:val="00364CF3"/>
    <w:rsid w:val="00373695"/>
    <w:rsid w:val="003841BE"/>
    <w:rsid w:val="00384D6F"/>
    <w:rsid w:val="003869C9"/>
    <w:rsid w:val="00390B59"/>
    <w:rsid w:val="003916C6"/>
    <w:rsid w:val="003C2528"/>
    <w:rsid w:val="003F031D"/>
    <w:rsid w:val="003F3634"/>
    <w:rsid w:val="004228EA"/>
    <w:rsid w:val="004257FE"/>
    <w:rsid w:val="0043435F"/>
    <w:rsid w:val="00436E96"/>
    <w:rsid w:val="004438AC"/>
    <w:rsid w:val="004614D6"/>
    <w:rsid w:val="00462FBA"/>
    <w:rsid w:val="00490C0C"/>
    <w:rsid w:val="004A2E56"/>
    <w:rsid w:val="004B2341"/>
    <w:rsid w:val="004B706F"/>
    <w:rsid w:val="004B7499"/>
    <w:rsid w:val="004C4741"/>
    <w:rsid w:val="004C6DE4"/>
    <w:rsid w:val="004D1608"/>
    <w:rsid w:val="00501BDF"/>
    <w:rsid w:val="00525438"/>
    <w:rsid w:val="00541798"/>
    <w:rsid w:val="005625ED"/>
    <w:rsid w:val="00563F24"/>
    <w:rsid w:val="0058273D"/>
    <w:rsid w:val="0059326B"/>
    <w:rsid w:val="00593D19"/>
    <w:rsid w:val="005A591F"/>
    <w:rsid w:val="005B3522"/>
    <w:rsid w:val="005C766E"/>
    <w:rsid w:val="005D77B5"/>
    <w:rsid w:val="005E262C"/>
    <w:rsid w:val="00614844"/>
    <w:rsid w:val="00617BAB"/>
    <w:rsid w:val="00621C92"/>
    <w:rsid w:val="00632E2A"/>
    <w:rsid w:val="00660914"/>
    <w:rsid w:val="00661620"/>
    <w:rsid w:val="00677A2B"/>
    <w:rsid w:val="00686936"/>
    <w:rsid w:val="006A000A"/>
    <w:rsid w:val="006C002F"/>
    <w:rsid w:val="006C6907"/>
    <w:rsid w:val="006D2227"/>
    <w:rsid w:val="007038A1"/>
    <w:rsid w:val="00711631"/>
    <w:rsid w:val="00711983"/>
    <w:rsid w:val="00713774"/>
    <w:rsid w:val="0074182C"/>
    <w:rsid w:val="0075223A"/>
    <w:rsid w:val="007611BF"/>
    <w:rsid w:val="007663E2"/>
    <w:rsid w:val="00775395"/>
    <w:rsid w:val="00787A9D"/>
    <w:rsid w:val="00794097"/>
    <w:rsid w:val="007A323D"/>
    <w:rsid w:val="007A6185"/>
    <w:rsid w:val="007A74DE"/>
    <w:rsid w:val="007B14F2"/>
    <w:rsid w:val="007B4DED"/>
    <w:rsid w:val="007B5532"/>
    <w:rsid w:val="007C3DD8"/>
    <w:rsid w:val="007D0290"/>
    <w:rsid w:val="007D5E1D"/>
    <w:rsid w:val="007E2165"/>
    <w:rsid w:val="007F2F09"/>
    <w:rsid w:val="007F4CD5"/>
    <w:rsid w:val="007F711C"/>
    <w:rsid w:val="00805C36"/>
    <w:rsid w:val="008063D8"/>
    <w:rsid w:val="00806A0F"/>
    <w:rsid w:val="00807F51"/>
    <w:rsid w:val="00811FC6"/>
    <w:rsid w:val="00825A0B"/>
    <w:rsid w:val="00856331"/>
    <w:rsid w:val="00860695"/>
    <w:rsid w:val="00863A88"/>
    <w:rsid w:val="008668A1"/>
    <w:rsid w:val="00883CC4"/>
    <w:rsid w:val="00895017"/>
    <w:rsid w:val="008B58EE"/>
    <w:rsid w:val="008C373E"/>
    <w:rsid w:val="008D0D13"/>
    <w:rsid w:val="008E6C8F"/>
    <w:rsid w:val="008E7A4A"/>
    <w:rsid w:val="008F0270"/>
    <w:rsid w:val="008F39E8"/>
    <w:rsid w:val="008F6221"/>
    <w:rsid w:val="00907299"/>
    <w:rsid w:val="00912E63"/>
    <w:rsid w:val="00913163"/>
    <w:rsid w:val="00932B82"/>
    <w:rsid w:val="00933B2D"/>
    <w:rsid w:val="0095083C"/>
    <w:rsid w:val="009508F9"/>
    <w:rsid w:val="009558CE"/>
    <w:rsid w:val="00956CE0"/>
    <w:rsid w:val="0096137B"/>
    <w:rsid w:val="00965D0C"/>
    <w:rsid w:val="00982F88"/>
    <w:rsid w:val="009B3EC6"/>
    <w:rsid w:val="009E7638"/>
    <w:rsid w:val="00A23CEE"/>
    <w:rsid w:val="00A44E8C"/>
    <w:rsid w:val="00A47B90"/>
    <w:rsid w:val="00A513B7"/>
    <w:rsid w:val="00A57F47"/>
    <w:rsid w:val="00A70FEF"/>
    <w:rsid w:val="00A71B35"/>
    <w:rsid w:val="00A92BA4"/>
    <w:rsid w:val="00A95FB5"/>
    <w:rsid w:val="00AA0CE4"/>
    <w:rsid w:val="00AB69C9"/>
    <w:rsid w:val="00AC4944"/>
    <w:rsid w:val="00AD091F"/>
    <w:rsid w:val="00AD1836"/>
    <w:rsid w:val="00AD5DAA"/>
    <w:rsid w:val="00AF45AA"/>
    <w:rsid w:val="00B00DA5"/>
    <w:rsid w:val="00B3026A"/>
    <w:rsid w:val="00B31D78"/>
    <w:rsid w:val="00B43C8D"/>
    <w:rsid w:val="00B45D39"/>
    <w:rsid w:val="00B53697"/>
    <w:rsid w:val="00B7266D"/>
    <w:rsid w:val="00B87182"/>
    <w:rsid w:val="00BB21CF"/>
    <w:rsid w:val="00BC1122"/>
    <w:rsid w:val="00BC6235"/>
    <w:rsid w:val="00BC697D"/>
    <w:rsid w:val="00BD6DC3"/>
    <w:rsid w:val="00BF1640"/>
    <w:rsid w:val="00BF3E4C"/>
    <w:rsid w:val="00BF7101"/>
    <w:rsid w:val="00C058D5"/>
    <w:rsid w:val="00C26A05"/>
    <w:rsid w:val="00C27A39"/>
    <w:rsid w:val="00C504FC"/>
    <w:rsid w:val="00C745A6"/>
    <w:rsid w:val="00C97636"/>
    <w:rsid w:val="00CA5CBF"/>
    <w:rsid w:val="00CB140C"/>
    <w:rsid w:val="00CB1A40"/>
    <w:rsid w:val="00CD323A"/>
    <w:rsid w:val="00CD5DF7"/>
    <w:rsid w:val="00CE1A1B"/>
    <w:rsid w:val="00CF563A"/>
    <w:rsid w:val="00CF62A2"/>
    <w:rsid w:val="00D0586A"/>
    <w:rsid w:val="00D11B49"/>
    <w:rsid w:val="00D13B07"/>
    <w:rsid w:val="00D26A4D"/>
    <w:rsid w:val="00D30EE4"/>
    <w:rsid w:val="00D375D6"/>
    <w:rsid w:val="00D871C2"/>
    <w:rsid w:val="00DE6DA6"/>
    <w:rsid w:val="00DF0E35"/>
    <w:rsid w:val="00DF7CF8"/>
    <w:rsid w:val="00E233F8"/>
    <w:rsid w:val="00E2454B"/>
    <w:rsid w:val="00E264BA"/>
    <w:rsid w:val="00E30624"/>
    <w:rsid w:val="00E31AD5"/>
    <w:rsid w:val="00E62D69"/>
    <w:rsid w:val="00E64AB2"/>
    <w:rsid w:val="00E65F24"/>
    <w:rsid w:val="00E70371"/>
    <w:rsid w:val="00EA1178"/>
    <w:rsid w:val="00EA5305"/>
    <w:rsid w:val="00EA7FA8"/>
    <w:rsid w:val="00EB0B66"/>
    <w:rsid w:val="00EB69AE"/>
    <w:rsid w:val="00EC2600"/>
    <w:rsid w:val="00ED38B3"/>
    <w:rsid w:val="00EE02D9"/>
    <w:rsid w:val="00EF16B8"/>
    <w:rsid w:val="00EF6DD4"/>
    <w:rsid w:val="00F0218C"/>
    <w:rsid w:val="00F03F88"/>
    <w:rsid w:val="00F10A17"/>
    <w:rsid w:val="00F11046"/>
    <w:rsid w:val="00F31411"/>
    <w:rsid w:val="00F53DC7"/>
    <w:rsid w:val="00F707E8"/>
    <w:rsid w:val="00F7296C"/>
    <w:rsid w:val="00F823C6"/>
    <w:rsid w:val="00F9471C"/>
    <w:rsid w:val="00F95DD0"/>
    <w:rsid w:val="00F97D51"/>
    <w:rsid w:val="00FA5CD1"/>
    <w:rsid w:val="00FB2FDE"/>
    <w:rsid w:val="00FC1335"/>
    <w:rsid w:val="00FC3BF7"/>
    <w:rsid w:val="00FE5887"/>
    <w:rsid w:val="00FE688C"/>
    <w:rsid w:val="00FE7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59567"/>
  <w15:chartTrackingRefBased/>
  <w15:docId w15:val="{64BAE232-7F8D-48A7-9331-F3BB85FAF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218C"/>
    <w:pPr>
      <w:spacing w:line="25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668A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68A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68A1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68A1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68A1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68A1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68A1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68A1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68A1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68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68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68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68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68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68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68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68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68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68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68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68A1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68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68A1"/>
    <w:pPr>
      <w:spacing w:before="160" w:line="259" w:lineRule="auto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68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68A1"/>
    <w:pPr>
      <w:spacing w:line="259" w:lineRule="auto"/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68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68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68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68A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8668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E64AB2"/>
    <w:rPr>
      <w:color w:val="0000FF"/>
      <w:u w:val="single"/>
    </w:rPr>
  </w:style>
  <w:style w:type="paragraph" w:styleId="BodyText">
    <w:name w:val="Body Text"/>
    <w:basedOn w:val="Normal"/>
    <w:link w:val="BodyTextChar"/>
    <w:semiHidden/>
    <w:unhideWhenUsed/>
    <w:rsid w:val="0058273D"/>
    <w:pPr>
      <w:suppressAutoHyphens/>
      <w:spacing w:after="140" w:line="276" w:lineRule="auto"/>
    </w:pPr>
    <w:rPr>
      <w:rFonts w:ascii="Liberation Serif" w:eastAsia="NSimSun" w:hAnsi="Liberation Serif" w:cs="Arial"/>
      <w:kern w:val="2"/>
      <w:sz w:val="24"/>
      <w:szCs w:val="24"/>
      <w:lang w:val="cs-CZ" w:eastAsia="zh-CN" w:bidi="hi-IN"/>
    </w:rPr>
  </w:style>
  <w:style w:type="character" w:customStyle="1" w:styleId="BodyTextChar">
    <w:name w:val="Body Text Char"/>
    <w:basedOn w:val="DefaultParagraphFont"/>
    <w:link w:val="BodyText"/>
    <w:semiHidden/>
    <w:rsid w:val="0058273D"/>
    <w:rPr>
      <w:rFonts w:ascii="Liberation Serif" w:eastAsia="NSimSun" w:hAnsi="Liberation Serif" w:cs="Arial"/>
      <w:kern w:val="2"/>
      <w:sz w:val="24"/>
      <w:szCs w:val="24"/>
      <w:lang w:val="cs-CZ" w:eastAsia="zh-CN" w:bidi="hi-IN"/>
    </w:rPr>
  </w:style>
  <w:style w:type="character" w:customStyle="1" w:styleId="apple-converted-space">
    <w:name w:val="apple-converted-space"/>
    <w:basedOn w:val="DefaultParagraphFont"/>
    <w:rsid w:val="002823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https://eur01.safelinks.protection.outlook.com/?url=http%3A%2F%2Fgo.warwick.ac.uk%2Fmy-parish%2Fparishsymposia%2Fdata%2F&amp;data=05%7C02%7CLynn.Marriott%40warwick.ac.uk%7C55aa3360d54045b8cfcd08debb32f1b0%7C09bacfbd47ef446592653546f2eaf6bc%7C0%7C0%7C639154024633114260%7CUnknown%7CTWFpbGZsb3d8eyJFbXB0eU1hcGkiOnRydWUsIlYiOiIwLjAuMDAwMCIsIlAiOiJXaW4zMiIsIkFOIjoiTWFpbCIsIldUIjoyfQ%3D%3D%7C0%7C%7C%7C&amp;sdata=2BIE1Iol%2Bog24mApU5mo9CkDeseI7vzAaNyV7l5cTE0%3D&amp;reserved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34B20B-3A2E-49A6-9AAE-7E2E4F1A9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1100</Words>
  <Characters>6270</Characters>
  <Application>Microsoft Office Word</Application>
  <DocSecurity>0</DocSecurity>
  <Lines>52</Lines>
  <Paragraphs>14</Paragraphs>
  <ScaleCrop>false</ScaleCrop>
  <Company/>
  <LinksUpToDate>false</LinksUpToDate>
  <CharactersWithSpaces>7356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Marriott</dc:creator>
  <cp:keywords/>
  <dc:description/>
  <cp:lastModifiedBy>Rae, Sue</cp:lastModifiedBy>
  <cp:revision>3</cp:revision>
  <dcterms:created xsi:type="dcterms:W3CDTF">2026-06-08T09:24:00Z</dcterms:created>
  <dcterms:modified xsi:type="dcterms:W3CDTF">2026-06-08T09:26:00Z</dcterms:modified>
</cp:coreProperties>
</file>