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3A584B" w14:textId="39325437" w:rsidR="00193C73" w:rsidRPr="00236797" w:rsidRDefault="00810D7A">
      <w:pPr>
        <w:rPr>
          <w:rFonts w:ascii="Arial" w:hAnsi="Arial" w:cs="Arial"/>
          <w:b/>
          <w:bCs/>
          <w:sz w:val="32"/>
          <w:szCs w:val="32"/>
        </w:rPr>
      </w:pPr>
      <w:r w:rsidRPr="00236797">
        <w:rPr>
          <w:rFonts w:ascii="Arial" w:hAnsi="Arial" w:cs="Arial"/>
          <w:b/>
          <w:bCs/>
          <w:sz w:val="32"/>
          <w:szCs w:val="32"/>
        </w:rPr>
        <w:t>Parish Memory</w:t>
      </w:r>
    </w:p>
    <w:p w14:paraId="4F857BEF" w14:textId="77777777" w:rsidR="00810D7A" w:rsidRPr="00236797" w:rsidRDefault="00810D7A">
      <w:pPr>
        <w:rPr>
          <w:rFonts w:ascii="Arial" w:hAnsi="Arial" w:cs="Arial"/>
        </w:rPr>
      </w:pPr>
    </w:p>
    <w:p w14:paraId="78502209" w14:textId="591244B5" w:rsidR="00810D7A" w:rsidRPr="00236797" w:rsidRDefault="00810D7A">
      <w:pPr>
        <w:rPr>
          <w:rFonts w:ascii="Arial" w:hAnsi="Arial" w:cs="Arial"/>
          <w:b/>
          <w:bCs/>
        </w:rPr>
      </w:pPr>
      <w:r w:rsidRPr="00236797">
        <w:rPr>
          <w:rFonts w:ascii="Arial" w:hAnsi="Arial" w:cs="Arial"/>
          <w:b/>
          <w:bCs/>
        </w:rPr>
        <w:t xml:space="preserve">The Twenty-Second Warwick Symposium on Parish Research took place in hybrid format at </w:t>
      </w:r>
      <w:r w:rsidR="00A94C56" w:rsidRPr="00236797">
        <w:rPr>
          <w:rFonts w:ascii="Arial" w:hAnsi="Arial" w:cs="Arial"/>
          <w:b/>
          <w:bCs/>
        </w:rPr>
        <w:t>our</w:t>
      </w:r>
      <w:r w:rsidRPr="00236797">
        <w:rPr>
          <w:rFonts w:ascii="Arial" w:hAnsi="Arial" w:cs="Arial"/>
          <w:b/>
          <w:bCs/>
        </w:rPr>
        <w:t xml:space="preserve"> Institute of Advanced Study on Saturday 11 May 2024. It featured a keynote address by Katalin Szende (Central European University)</w:t>
      </w:r>
      <w:r w:rsidR="00A75E2B">
        <w:rPr>
          <w:rFonts w:ascii="Arial" w:hAnsi="Arial" w:cs="Arial"/>
          <w:b/>
          <w:bCs/>
        </w:rPr>
        <w:t xml:space="preserve"> plus</w:t>
      </w:r>
      <w:r w:rsidRPr="00236797">
        <w:rPr>
          <w:rFonts w:ascii="Arial" w:hAnsi="Arial" w:cs="Arial"/>
          <w:b/>
          <w:bCs/>
        </w:rPr>
        <w:t xml:space="preserve"> 15 shorter papers and attracted around 40 participants from eight countries.</w:t>
      </w:r>
    </w:p>
    <w:p w14:paraId="2AF5F053" w14:textId="77777777" w:rsidR="00810D7A" w:rsidRDefault="00810D7A"/>
    <w:p w14:paraId="46E72F12" w14:textId="06F3EC37" w:rsidR="00FC3675" w:rsidRPr="00FC3675" w:rsidRDefault="00FC3675">
      <w:pPr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Report by Beat Kümin (Warwick History)</w:t>
      </w:r>
      <w:r>
        <w:rPr>
          <w:rFonts w:ascii="Arial" w:hAnsi="Arial" w:cs="Arial"/>
          <w:i/>
          <w:iCs/>
        </w:rPr>
        <w:br/>
      </w:r>
    </w:p>
    <w:p w14:paraId="28082630" w14:textId="77777777" w:rsidR="00FC3675" w:rsidRDefault="00FC3675"/>
    <w:p w14:paraId="41483AD2" w14:textId="542163F3" w:rsidR="00810D7A" w:rsidRPr="00DE04D7" w:rsidRDefault="00572D07" w:rsidP="00DE04D7">
      <w:pPr>
        <w:jc w:val="center"/>
        <w:rPr>
          <w:i/>
          <w:iCs/>
        </w:rPr>
      </w:pPr>
      <w:r>
        <w:rPr>
          <w:noProof/>
        </w:rPr>
        <w:drawing>
          <wp:inline distT="0" distB="0" distL="0" distR="0" wp14:anchorId="563E8406" wp14:editId="7D16A45E">
            <wp:extent cx="5274310" cy="3723640"/>
            <wp:effectExtent l="0" t="0" r="2540" b="0"/>
            <wp:docPr id="427700736" name="Picture 1" descr="Image previe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preview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723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C1A51A" w14:textId="1FF67559" w:rsidR="00A94C56" w:rsidRPr="00236797" w:rsidRDefault="00A75E2B" w:rsidP="00A94C56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/>
      </w:r>
      <w:r w:rsidR="00DE04D7">
        <w:rPr>
          <w:rFonts w:ascii="Arial" w:hAnsi="Arial" w:cs="Arial"/>
          <w:sz w:val="22"/>
          <w:szCs w:val="22"/>
        </w:rPr>
        <w:t xml:space="preserve">Fig. 1: </w:t>
      </w:r>
      <w:r w:rsidR="00A94C56" w:rsidRPr="00236797">
        <w:rPr>
          <w:rFonts w:ascii="Arial" w:hAnsi="Arial" w:cs="Arial"/>
          <w:sz w:val="22"/>
          <w:szCs w:val="22"/>
        </w:rPr>
        <w:t>Symposium Poster designed by Kristi Flake.</w:t>
      </w:r>
    </w:p>
    <w:p w14:paraId="2B5E768E" w14:textId="77777777" w:rsidR="00810D7A" w:rsidRDefault="00810D7A"/>
    <w:p w14:paraId="5B055207" w14:textId="636E81F5" w:rsidR="00810D7A" w:rsidRPr="00236797" w:rsidRDefault="00810D7A">
      <w:pP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</w:pP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Our 2024 theme intersected with the</w:t>
      </w:r>
      <w:r w:rsidR="00A75E2B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lively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interdisciplinary field of memory studies, focusing particularly on when / how / why parishioners remember(ed) events, customs, people and other aspects of their locality &amp; culture. The Symposium coincided with Miia Kuha</w:t>
      </w:r>
      <w:r w:rsidR="002F6A2D"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’s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(</w:t>
      </w:r>
      <w:r w:rsidRPr="00236797">
        <w:rPr>
          <w:rFonts w:ascii="Arial" w:hAnsi="Arial" w:cs="Arial"/>
          <w:color w:val="383838"/>
          <w:shd w:val="clear" w:color="auto" w:fill="FFFFFF"/>
        </w:rPr>
        <w:t xml:space="preserve">Jyväskylä University, Finland) </w:t>
      </w:r>
      <w:r w:rsidR="002F6A2D" w:rsidRPr="00236797">
        <w:rPr>
          <w:rFonts w:ascii="Arial" w:hAnsi="Arial" w:cs="Arial"/>
          <w:color w:val="383838"/>
          <w:shd w:val="clear" w:color="auto" w:fill="FFFFFF"/>
        </w:rPr>
        <w:t xml:space="preserve">tenure </w:t>
      </w:r>
      <w:r w:rsidRPr="00236797">
        <w:rPr>
          <w:rFonts w:ascii="Arial" w:hAnsi="Arial" w:cs="Arial"/>
          <w:color w:val="383838"/>
          <w:shd w:val="clear" w:color="auto" w:fill="FFFFFF"/>
        </w:rPr>
        <w:t>as a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My-Parish Fellow </w:t>
      </w:r>
      <w:r w:rsidR="00A71055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(to study </w:t>
      </w:r>
      <w:r w:rsidR="0080125D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Anglophone literature </w:t>
      </w:r>
      <w:r w:rsidR="00A71055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clergy widows) </w:t>
      </w:r>
      <w:r w:rsidR="00A75E2B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an</w:t>
      </w:r>
      <w:r w:rsidR="00A71055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d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Beat Kümin’s project on </w:t>
      </w:r>
      <w:hyperlink r:id="rId7" w:history="1">
        <w:r w:rsidRPr="00A923A0">
          <w:rPr>
            <w:rStyle w:val="Hyperlink"/>
            <w:rFonts w:ascii="Arial" w:eastAsiaTheme="majorEastAsia" w:hAnsi="Arial" w:cs="Arial"/>
          </w:rPr>
          <w:t>tower capsule deposits</w:t>
        </w:r>
      </w:hyperlink>
      <w:r w:rsidR="00881A8D">
        <w:rPr>
          <w:rFonts w:ascii="Arial" w:eastAsiaTheme="majorEastAsia" w:hAnsi="Arial" w:cs="Arial"/>
        </w:rPr>
        <w:t xml:space="preserve"> (funded by the Gerda Henkel Stiftung)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. </w:t>
      </w:r>
    </w:p>
    <w:p w14:paraId="07470A3E" w14:textId="77777777" w:rsidR="002F6A2D" w:rsidRPr="00236797" w:rsidRDefault="002F6A2D">
      <w:pP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</w:pPr>
    </w:p>
    <w:p w14:paraId="54E411CD" w14:textId="30D8040B" w:rsidR="002F6A2D" w:rsidRPr="00236797" w:rsidRDefault="002F6A2D">
      <w:pP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</w:pP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The </w:t>
      </w:r>
      <w:r w:rsidR="00A94C56"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opening 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keynote address took us to Central Europe. Prof. Szende </w:t>
      </w:r>
      <w:r w:rsidR="00A94C56"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offered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a splendid panorama of ways in which parishes fostered individual and community memory in the Middle Ages and early Reformation period</w:t>
      </w:r>
      <w:r w:rsidR="00236797"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. Clergy and laity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utiliz</w:t>
      </w:r>
      <w:r w:rsidR="00236797"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ed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</w:t>
      </w:r>
      <w:r w:rsidR="00A94C56"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a wide range of oral, 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written, visual and material media </w:t>
      </w:r>
      <w:r w:rsidR="00A75E2B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alongside processions,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performances and </w:t>
      </w:r>
      <w:r w:rsidR="0074736A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numerous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forms of symbolic communication. A distinctive element </w:t>
      </w:r>
      <w:r w:rsidR="00A75E2B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from a comparative European perspective are the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wall chronicles, i.e. records of reigning monarchs as well 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lastRenderedPageBreak/>
        <w:t xml:space="preserve">as prominent events </w:t>
      </w:r>
      <w:r w:rsidR="00A75E2B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from the fifteenth century 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which </w:t>
      </w:r>
      <w:r w:rsidR="00A75E2B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have survived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in </w:t>
      </w:r>
      <w:r w:rsidR="00A94C56"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several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churches of the region. </w:t>
      </w:r>
    </w:p>
    <w:p w14:paraId="73741C69" w14:textId="77777777" w:rsidR="00A94C56" w:rsidRDefault="00A94C56">
      <w:pP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</w:pPr>
    </w:p>
    <w:p w14:paraId="6FF1AF28" w14:textId="6E518F39" w:rsidR="00DE04D7" w:rsidRPr="00DE04D7" w:rsidRDefault="00572D07" w:rsidP="00DE04D7">
      <w:pPr>
        <w:jc w:val="center"/>
        <w:rPr>
          <w:rStyle w:val="contentpasted0"/>
          <w:i/>
          <w:iCs/>
        </w:rPr>
      </w:pPr>
      <w:r>
        <w:rPr>
          <w:noProof/>
        </w:rPr>
        <w:drawing>
          <wp:inline distT="0" distB="0" distL="0" distR="0" wp14:anchorId="3CA28C27" wp14:editId="35748C53">
            <wp:extent cx="5274310" cy="3282490"/>
            <wp:effectExtent l="0" t="0" r="2540" b="0"/>
            <wp:docPr id="289363401" name="Picture 2" descr="Image previe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 preview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363"/>
                    <a:stretch/>
                  </pic:blipFill>
                  <pic:spPr bwMode="auto">
                    <a:xfrm>
                      <a:off x="0" y="0"/>
                      <a:ext cx="5274310" cy="3282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A11ECAC" w14:textId="3D2A7BC1" w:rsidR="00236797" w:rsidRPr="00236797" w:rsidRDefault="00236797">
      <w:pPr>
        <w:rPr>
          <w:rFonts w:ascii="Arial" w:hAnsi="Arial" w:cs="Arial"/>
          <w:color w:val="383838"/>
          <w:shd w:val="clear" w:color="auto" w:fill="FFFFFF"/>
        </w:rPr>
      </w:pPr>
    </w:p>
    <w:p w14:paraId="020CE5A0" w14:textId="389F33E1" w:rsidR="00236797" w:rsidRPr="00236797" w:rsidRDefault="00DE04D7" w:rsidP="00236797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Fig. 2: </w:t>
      </w:r>
      <w:r w:rsidR="00236797" w:rsidRPr="00236797">
        <w:rPr>
          <w:rFonts w:ascii="Arial" w:hAnsi="Arial" w:cs="Arial"/>
          <w:sz w:val="22"/>
          <w:szCs w:val="22"/>
        </w:rPr>
        <w:t xml:space="preserve">Miia Kuha (Jyväskylä / My-Parish Fellow), Beat Kümin (Warwick History / Parish Network), Katalin Szende (Central European University) and Angus Crawford </w:t>
      </w:r>
      <w:r w:rsidR="00236797">
        <w:rPr>
          <w:rFonts w:ascii="Arial" w:hAnsi="Arial" w:cs="Arial"/>
          <w:sz w:val="22"/>
          <w:szCs w:val="22"/>
        </w:rPr>
        <w:br/>
      </w:r>
      <w:r w:rsidR="00236797" w:rsidRPr="00236797">
        <w:rPr>
          <w:rFonts w:ascii="Arial" w:hAnsi="Arial" w:cs="Arial"/>
          <w:sz w:val="22"/>
          <w:szCs w:val="22"/>
        </w:rPr>
        <w:t>/ Kristi Flake (Warwick History PGR) at the IAS on 11 May 2024. Pic: Andrew Foster.</w:t>
      </w:r>
    </w:p>
    <w:p w14:paraId="08124444" w14:textId="77777777" w:rsidR="00236797" w:rsidRPr="00236797" w:rsidRDefault="00236797">
      <w:pPr>
        <w:rPr>
          <w:rFonts w:ascii="Arial" w:hAnsi="Arial" w:cs="Arial"/>
          <w:color w:val="383838"/>
          <w:shd w:val="clear" w:color="auto" w:fill="FFFFFF"/>
        </w:rPr>
      </w:pPr>
    </w:p>
    <w:p w14:paraId="66CACE40" w14:textId="77777777" w:rsidR="00236797" w:rsidRPr="00236797" w:rsidRDefault="00236797">
      <w:pPr>
        <w:rPr>
          <w:rFonts w:ascii="Arial" w:hAnsi="Arial" w:cs="Arial"/>
          <w:color w:val="383838"/>
          <w:shd w:val="clear" w:color="auto" w:fill="FFFFFF"/>
        </w:rPr>
      </w:pPr>
    </w:p>
    <w:p w14:paraId="722C0B52" w14:textId="24F8D348" w:rsidR="00810D7A" w:rsidRDefault="00A94C56">
      <w:pP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</w:pPr>
      <w:r w:rsidRPr="00236797">
        <w:rPr>
          <w:rFonts w:ascii="Arial" w:hAnsi="Arial" w:cs="Arial"/>
          <w:color w:val="383838"/>
          <w:shd w:val="clear" w:color="auto" w:fill="FFFFFF"/>
        </w:rPr>
        <w:t>The Symposium, inaugurated in 2003</w:t>
      </w:r>
      <w:r w:rsidR="00FC3675">
        <w:rPr>
          <w:rFonts w:ascii="Arial" w:hAnsi="Arial" w:cs="Arial"/>
          <w:color w:val="383838"/>
          <w:shd w:val="clear" w:color="auto" w:fill="FFFFFF"/>
        </w:rPr>
        <w:t xml:space="preserve"> and run by the Warwick Network for Parish Research (with its </w:t>
      </w:r>
      <w:hyperlink r:id="rId9" w:history="1">
        <w:r w:rsidR="00FC3675" w:rsidRPr="00FC3675">
          <w:rPr>
            <w:rStyle w:val="Hyperlink"/>
            <w:rFonts w:ascii="Arial" w:hAnsi="Arial" w:cs="Arial"/>
            <w:shd w:val="clear" w:color="auto" w:fill="FFFFFF"/>
          </w:rPr>
          <w:t>My-Parish research platform</w:t>
        </w:r>
      </w:hyperlink>
      <w:r w:rsidR="00FC3675">
        <w:rPr>
          <w:rFonts w:ascii="Arial" w:hAnsi="Arial" w:cs="Arial"/>
          <w:color w:val="383838"/>
          <w:shd w:val="clear" w:color="auto" w:fill="FFFFFF"/>
        </w:rPr>
        <w:t>)</w:t>
      </w:r>
      <w:r w:rsidRPr="00236797">
        <w:rPr>
          <w:rFonts w:ascii="Arial" w:hAnsi="Arial" w:cs="Arial"/>
          <w:color w:val="383838"/>
          <w:shd w:val="clear" w:color="auto" w:fill="FFFFFF"/>
        </w:rPr>
        <w:t>, has always been an inclusive forum of exchange between anyone with active research interests in parish culture from whatever background or career stage. 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Following a call for papers</w:t>
      </w:r>
      <w:r w:rsidR="00A923A0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earlier in the year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, we featured 15-minute contributions from doctoral students, </w:t>
      </w:r>
      <w:r w:rsidR="00236797"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independent scholars, 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early career researchers as well as senior academics. Proceedings were arranged in five sections, dedicated to the themes of ‘medieval culture’ (featuring </w:t>
      </w:r>
      <w:r w:rsidR="00A71055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talks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on mortuary bequests, stained glass windows and chantry foundations), ‘memory sources’ (highlighting parish registers, local histories, funeral biographies and tower capsule deposits), ‘memory divisions’ (</w:t>
      </w:r>
      <w:r w:rsidR="00236797"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specifically in early modern Scotland and modern Ireland), ‘parishes remembered’ (dealing with case studies in Southampton, the Isle of Wight, Hungary and </w:t>
      </w:r>
      <w:r w:rsidR="00A71055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present-day Romania</w:t>
      </w:r>
      <w:r w:rsidR="00236797"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) and ‘parish spaces’ (focusing</w:t>
      </w:r>
      <w:r w:rsidR="00A71055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in particular</w:t>
      </w:r>
      <w:r w:rsidR="00236797"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on churchyards and territorial disputes</w:t>
      </w:r>
      <w:r w:rsidR="005B3D5B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; see full programme at the end of this report</w:t>
      </w:r>
      <w:r w:rsidR="00236797"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). </w:t>
      </w:r>
    </w:p>
    <w:p w14:paraId="74A80C85" w14:textId="77777777" w:rsidR="00FC3675" w:rsidRDefault="00FC3675">
      <w:pP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</w:pPr>
    </w:p>
    <w:p w14:paraId="28291AEB" w14:textId="0FAFC8BF" w:rsidR="00A75E2B" w:rsidRDefault="00FC3675">
      <w:pP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</w:pPr>
      <w: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The intense but refreshingly informal event concluded with an extensive plenary session on the sources, methods, concepts, regional peculiarities and chronological evolutions emerging from the day’s presentations. Among the </w:t>
      </w:r>
      <w:r w:rsidR="00A71055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principal</w:t>
      </w:r>
      <w: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‘take aways’ were differences of scale (from the personal / microhistorical via the regional and national to global levels) and the inherently unstable or fraught nature of memory (which could be lost, suppressed</w:t>
      </w:r>
      <w:r w:rsidR="00A71055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, manipulated</w:t>
      </w:r>
      <w: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and fluctuating as well as continuous and </w:t>
      </w:r>
      <w: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lastRenderedPageBreak/>
        <w:t xml:space="preserve">uncontested). </w:t>
      </w:r>
      <w:r w:rsidR="00A71055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Thanks to the cosmopolitan makeup of the gathering, there was also fruitful exchange on recent theoretical work beyond the ‘classics’ associated with </w:t>
      </w:r>
      <w:r w:rsidR="005022C0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scholars</w:t>
      </w:r>
      <w:r w:rsidR="00A71055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like Pierre Nora, Maurice Halbwachs or Aleida &amp; Jan Assmann. In line with tradition</w:t>
      </w:r>
      <w: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, further space for informal discussion was afforded by a cheap and cheerful pub dinner on campus, accompanied by the </w:t>
      </w:r>
      <w:r w:rsidR="00A75E2B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more or less engaging Eurovision tunes</w:t>
      </w:r>
      <w:r w:rsidR="008C0D56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blasting out</w:t>
      </w:r>
      <w:r w:rsidR="00A75E2B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from a nearby television screen (with Symposium participants rooting for many different entries).</w:t>
      </w:r>
    </w:p>
    <w:p w14:paraId="60A8CCE8" w14:textId="77777777" w:rsidR="00A75E2B" w:rsidRDefault="00A75E2B">
      <w:pP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</w:pPr>
    </w:p>
    <w:p w14:paraId="092FEB04" w14:textId="7743BBC7" w:rsidR="00DE04D7" w:rsidRPr="00DE04D7" w:rsidRDefault="00572D07" w:rsidP="00DE04D7">
      <w:pPr>
        <w:jc w:val="center"/>
        <w:rPr>
          <w:i/>
          <w:iCs/>
        </w:rPr>
      </w:pPr>
      <w:r>
        <w:rPr>
          <w:noProof/>
        </w:rPr>
        <w:drawing>
          <wp:inline distT="0" distB="0" distL="0" distR="0" wp14:anchorId="03C514C8" wp14:editId="7D941848">
            <wp:extent cx="5274310" cy="4351283"/>
            <wp:effectExtent l="0" t="0" r="2540" b="0"/>
            <wp:docPr id="289018005" name="Picture 3" descr="Image previe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age preview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2519"/>
                    <a:stretch/>
                  </pic:blipFill>
                  <pic:spPr bwMode="auto">
                    <a:xfrm>
                      <a:off x="0" y="0"/>
                      <a:ext cx="5274310" cy="4351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BCE1D2" w14:textId="77777777" w:rsidR="00DE04D7" w:rsidRDefault="00DE04D7">
      <w:pP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</w:pPr>
    </w:p>
    <w:p w14:paraId="0513E151" w14:textId="08E28806" w:rsidR="00A75E2B" w:rsidRPr="00236797" w:rsidRDefault="00FC3675" w:rsidP="00DE04D7">
      <w:pPr>
        <w:rPr>
          <w:rFonts w:ascii="Arial" w:hAnsi="Arial" w:cs="Arial"/>
          <w:sz w:val="22"/>
          <w:szCs w:val="22"/>
        </w:rPr>
      </w:pPr>
      <w: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</w:t>
      </w:r>
      <w:r w:rsidR="00DE04D7">
        <w:rPr>
          <w:rFonts w:ascii="Arial" w:hAnsi="Arial" w:cs="Arial"/>
          <w:sz w:val="22"/>
          <w:szCs w:val="22"/>
        </w:rPr>
        <w:t xml:space="preserve">Fig. 3: </w:t>
      </w:r>
      <w:r w:rsidR="00A75E2B">
        <w:rPr>
          <w:rFonts w:ascii="Arial" w:hAnsi="Arial" w:cs="Arial"/>
          <w:sz w:val="22"/>
          <w:szCs w:val="22"/>
        </w:rPr>
        <w:t xml:space="preserve">‘Parish Memory’ speakers and chairs, including Warwick Em. Prof. Bernard Capp (first left) and Cluj-Napoca Prof. Adinel Dinca (first right), raising their glasses </w:t>
      </w:r>
      <w:r w:rsidR="00A75E2B">
        <w:rPr>
          <w:rFonts w:ascii="Arial" w:hAnsi="Arial" w:cs="Arial"/>
          <w:sz w:val="22"/>
          <w:szCs w:val="22"/>
        </w:rPr>
        <w:br/>
        <w:t>to a successful 2024 Symposium</w:t>
      </w:r>
      <w:r w:rsidR="00A75E2B" w:rsidRPr="00236797">
        <w:rPr>
          <w:rFonts w:ascii="Arial" w:hAnsi="Arial" w:cs="Arial"/>
          <w:sz w:val="22"/>
          <w:szCs w:val="22"/>
        </w:rPr>
        <w:t>. Pic: Andrew Foster.</w:t>
      </w:r>
    </w:p>
    <w:p w14:paraId="7ADCD63D" w14:textId="77777777" w:rsidR="00A75E2B" w:rsidRDefault="00A75E2B">
      <w:pPr>
        <w:rPr>
          <w:rStyle w:val="contentpasted0"/>
          <w:rFonts w:ascii="Lato" w:eastAsiaTheme="majorEastAsia" w:hAnsi="Lato"/>
          <w:color w:val="383838"/>
          <w:shd w:val="clear" w:color="auto" w:fill="FFFFFF"/>
        </w:rPr>
      </w:pPr>
    </w:p>
    <w:p w14:paraId="1287430A" w14:textId="77777777" w:rsidR="00810D7A" w:rsidRDefault="00810D7A"/>
    <w:p w14:paraId="66F66DA5" w14:textId="1D864805" w:rsidR="00810D7A" w:rsidRDefault="00422FB1">
      <w:pP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</w:pPr>
      <w: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Further details</w:t>
      </w:r>
      <w:r w:rsidR="00FC3675"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, </w:t>
      </w:r>
      <w: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including paper</w:t>
      </w:r>
      <w:r w:rsidR="00FC3675"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abstracts</w:t>
      </w:r>
      <w: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,</w:t>
      </w:r>
      <w:r w:rsidR="00FC3675"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speaker biographies and visual impressions from the day, can be accessed on the Symposium homepage at: </w:t>
      </w:r>
      <w:hyperlink r:id="rId11" w:history="1">
        <w:r w:rsidR="00FC3675" w:rsidRPr="00236797">
          <w:rPr>
            <w:rStyle w:val="Hyperlink"/>
            <w:rFonts w:ascii="Arial" w:eastAsiaTheme="majorEastAsia" w:hAnsi="Arial" w:cs="Arial"/>
          </w:rPr>
          <w:t>http://warwick.ac.uk/my-parish/parishsymposia/memory/</w:t>
        </w:r>
      </w:hyperlink>
      <w:r w:rsidR="00FC3675"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.</w:t>
      </w:r>
      <w:r w:rsidR="00A75E2B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The Parish Network hopes to </w:t>
      </w:r>
      <w:r w:rsidR="008C0D56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stage the next Symposium</w:t>
      </w:r>
      <w:r w:rsidR="00A75E2B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in</w:t>
      </w:r>
      <w:r w:rsidR="008C0D56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May</w:t>
      </w:r>
      <w:r w:rsidR="00A75E2B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2025 and is always open for thematic suggestions and/or ideas for related research projects.</w:t>
      </w:r>
    </w:p>
    <w:p w14:paraId="57B13C75" w14:textId="77777777" w:rsidR="00881A8D" w:rsidRDefault="00881A8D">
      <w:pP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</w:pPr>
    </w:p>
    <w:p w14:paraId="739EA409" w14:textId="0AD54C7A" w:rsidR="00881A8D" w:rsidRDefault="00881A8D">
      <w:pP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</w:pP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The co-hosts gratefully acknowledge the </w:t>
      </w:r>
      <w:r w:rsidR="00DC5A6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generous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support from the Humanities Research Centre (</w:t>
      </w:r>
      <w: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as always seamlessly mediated by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Sue Rae), Warwick</w:t>
      </w:r>
      <w: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’s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History Department and the Gerda Henkel Stiftung </w:t>
      </w:r>
      <w: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(based in Düsseldorf, 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German</w:t>
      </w:r>
      <w:r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>y)</w:t>
      </w:r>
      <w:r w:rsidRPr="00236797">
        <w:rPr>
          <w:rStyle w:val="contentpasted0"/>
          <w:rFonts w:ascii="Arial" w:eastAsiaTheme="majorEastAsia" w:hAnsi="Arial" w:cs="Arial"/>
          <w:color w:val="383838"/>
          <w:shd w:val="clear" w:color="auto" w:fill="FFFFFF"/>
        </w:rPr>
        <w:t xml:space="preserve"> as well as the organizational help from Angus Crawford and Kristi Flake (both Warwick History PGR).</w:t>
      </w:r>
    </w:p>
    <w:p w14:paraId="72ADB300" w14:textId="77777777" w:rsidR="00422FB1" w:rsidRPr="00DE04D7" w:rsidRDefault="00422FB1">
      <w:pPr>
        <w:rPr>
          <w:rFonts w:ascii="Arial" w:hAnsi="Arial" w:cs="Arial"/>
        </w:rPr>
      </w:pPr>
    </w:p>
    <w:p w14:paraId="11C07B86" w14:textId="40756CDC" w:rsidR="006F1520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b/>
          <w:bCs/>
        </w:rPr>
        <w:t>Keynote Address</w:t>
      </w:r>
      <w:r w:rsidRPr="00DE04D7">
        <w:rPr>
          <w:rFonts w:ascii="Arial" w:hAnsi="Arial" w:cs="Arial"/>
        </w:rPr>
        <w:t xml:space="preserve"> – Chair: Beat Kümin (Warwick)</w:t>
      </w:r>
    </w:p>
    <w:p w14:paraId="23D7687D" w14:textId="77777777" w:rsidR="006F1520" w:rsidRPr="00DE04D7" w:rsidRDefault="006F1520" w:rsidP="00DE04D7">
      <w:pPr>
        <w:jc w:val="center"/>
        <w:rPr>
          <w:rFonts w:ascii="Arial" w:hAnsi="Arial" w:cs="Arial"/>
        </w:rPr>
      </w:pPr>
    </w:p>
    <w:p w14:paraId="44F85BDC" w14:textId="73DDF88E" w:rsidR="006F1520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i/>
          <w:iCs/>
        </w:rPr>
        <w:t>Katalin Szende</w:t>
      </w:r>
      <w:r w:rsidRPr="00DE04D7">
        <w:rPr>
          <w:rFonts w:ascii="Arial" w:hAnsi="Arial" w:cs="Arial"/>
        </w:rPr>
        <w:t xml:space="preserve"> (Central European University): ‘The parish as a place of memory in medieval Central Europe’</w:t>
      </w:r>
    </w:p>
    <w:p w14:paraId="2EA76EA7" w14:textId="77777777" w:rsidR="006F1520" w:rsidRPr="00DE04D7" w:rsidRDefault="006F1520" w:rsidP="00DE04D7">
      <w:pPr>
        <w:jc w:val="center"/>
        <w:rPr>
          <w:rFonts w:ascii="Arial" w:hAnsi="Arial" w:cs="Arial"/>
        </w:rPr>
      </w:pPr>
    </w:p>
    <w:p w14:paraId="6380F0EB" w14:textId="2595481D" w:rsidR="006F1520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b/>
          <w:bCs/>
        </w:rPr>
        <w:t>Session 1: Medieval Culture</w:t>
      </w:r>
      <w:r w:rsidRPr="00DE04D7">
        <w:rPr>
          <w:rFonts w:ascii="Arial" w:hAnsi="Arial" w:cs="Arial"/>
        </w:rPr>
        <w:t xml:space="preserve"> – Chair: Angus Crawford (Warwick)</w:t>
      </w:r>
    </w:p>
    <w:p w14:paraId="69726BD6" w14:textId="77777777" w:rsidR="00DE04D7" w:rsidRPr="00DE04D7" w:rsidRDefault="00DE04D7" w:rsidP="00DE04D7">
      <w:pPr>
        <w:jc w:val="center"/>
        <w:rPr>
          <w:rFonts w:ascii="Arial" w:hAnsi="Arial" w:cs="Arial"/>
        </w:rPr>
      </w:pPr>
    </w:p>
    <w:p w14:paraId="02C4E088" w14:textId="6AFC42FF" w:rsidR="006F1520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i/>
          <w:iCs/>
        </w:rPr>
        <w:t>Heather Falvey</w:t>
      </w:r>
      <w:r w:rsidRPr="00DE04D7">
        <w:rPr>
          <w:rFonts w:ascii="Arial" w:hAnsi="Arial" w:cs="Arial"/>
        </w:rPr>
        <w:t xml:space="preserve"> (Cambridge / Oxford): ‘Remembering the parish (priest): Mortuary bequests in medieval England’</w:t>
      </w:r>
    </w:p>
    <w:p w14:paraId="02F12CDE" w14:textId="6AA30EE5" w:rsidR="006F1520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i/>
          <w:iCs/>
        </w:rPr>
        <w:t>Jessica Knowles</w:t>
      </w:r>
      <w:r w:rsidRPr="00DE04D7">
        <w:rPr>
          <w:rFonts w:ascii="Arial" w:hAnsi="Arial" w:cs="Arial"/>
        </w:rPr>
        <w:t xml:space="preserve"> (Vienna): ‘Commemorating Apocalypse: The Fifteen Last Days in All Saints, North Street’</w:t>
      </w:r>
    </w:p>
    <w:p w14:paraId="704E870E" w14:textId="0C7F5484" w:rsidR="006F1520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i/>
          <w:iCs/>
        </w:rPr>
        <w:t>Cindy Wood</w:t>
      </w:r>
      <w:r w:rsidRPr="00DE04D7">
        <w:rPr>
          <w:rFonts w:ascii="Arial" w:hAnsi="Arial" w:cs="Arial"/>
        </w:rPr>
        <w:t xml:space="preserve"> (Winchester): ‘The Parish Church of Ludlow, the 1547 Chantry Act and Commemoration of the Dead’</w:t>
      </w:r>
    </w:p>
    <w:p w14:paraId="0B4FC29C" w14:textId="77777777" w:rsidR="006F1520" w:rsidRPr="00DE04D7" w:rsidRDefault="006F1520" w:rsidP="00DE04D7">
      <w:pPr>
        <w:jc w:val="center"/>
        <w:rPr>
          <w:rFonts w:ascii="Arial" w:hAnsi="Arial" w:cs="Arial"/>
        </w:rPr>
      </w:pPr>
    </w:p>
    <w:p w14:paraId="53E53AA4" w14:textId="0BD9FFF5" w:rsidR="006F1520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b/>
          <w:bCs/>
        </w:rPr>
        <w:t>Session 2: Memory Sources</w:t>
      </w:r>
      <w:r w:rsidRPr="00DE04D7">
        <w:rPr>
          <w:rFonts w:ascii="Arial" w:hAnsi="Arial" w:cs="Arial"/>
        </w:rPr>
        <w:t xml:space="preserve"> – Chair: John Craig (Simon Fraser)</w:t>
      </w:r>
    </w:p>
    <w:p w14:paraId="436CCB47" w14:textId="77777777" w:rsidR="00DE04D7" w:rsidRPr="00DE04D7" w:rsidRDefault="00DE04D7" w:rsidP="00DE04D7">
      <w:pPr>
        <w:jc w:val="center"/>
        <w:rPr>
          <w:rFonts w:ascii="Arial" w:hAnsi="Arial" w:cs="Arial"/>
          <w:i/>
          <w:iCs/>
        </w:rPr>
      </w:pPr>
    </w:p>
    <w:p w14:paraId="666DE084" w14:textId="453D0FBA" w:rsidR="006F1520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i/>
          <w:iCs/>
        </w:rPr>
        <w:t>Ian Atherton</w:t>
      </w:r>
      <w:r w:rsidRPr="00DE04D7">
        <w:rPr>
          <w:rFonts w:ascii="Arial" w:hAnsi="Arial" w:cs="Arial"/>
        </w:rPr>
        <w:t xml:space="preserve"> (Keele): ‘Early Modern English Parish Registers as Forms of Memory’</w:t>
      </w:r>
    </w:p>
    <w:p w14:paraId="7B341C06" w14:textId="5291357A" w:rsidR="006F1520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i/>
          <w:iCs/>
        </w:rPr>
        <w:t>Bernard Capp</w:t>
      </w:r>
      <w:r w:rsidRPr="00DE04D7">
        <w:rPr>
          <w:rFonts w:ascii="Arial" w:hAnsi="Arial" w:cs="Arial"/>
        </w:rPr>
        <w:t xml:space="preserve"> (Warwick): ‘Richard Gough and his Memories of Myddle’</w:t>
      </w:r>
    </w:p>
    <w:p w14:paraId="16697C38" w14:textId="27BD5A2B" w:rsidR="006F1520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i/>
          <w:iCs/>
        </w:rPr>
        <w:t>Miia Kuha</w:t>
      </w:r>
      <w:r w:rsidRPr="00DE04D7">
        <w:rPr>
          <w:rFonts w:ascii="Arial" w:hAnsi="Arial" w:cs="Arial"/>
        </w:rPr>
        <w:t xml:space="preserve"> (Jyväskylä / My-Parish Visiting Researcher): ‘Remembering the pastor’s wife: Roles and responsibilities of 17th -century Finnish clergymen’s wives in funeral biographies’</w:t>
      </w:r>
    </w:p>
    <w:p w14:paraId="731E895D" w14:textId="2638FD16" w:rsidR="006F1520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i/>
          <w:iCs/>
        </w:rPr>
        <w:t>Beat Kümin</w:t>
      </w:r>
      <w:r w:rsidRPr="00DE04D7">
        <w:rPr>
          <w:rFonts w:ascii="Arial" w:hAnsi="Arial" w:cs="Arial"/>
        </w:rPr>
        <w:t xml:space="preserve"> (Warwick): ‘Conceal to Connect: Tower Capsules in the Deposit Culture of the German Lands’</w:t>
      </w:r>
    </w:p>
    <w:p w14:paraId="18941FA9" w14:textId="77777777" w:rsidR="006F1520" w:rsidRPr="00DE04D7" w:rsidRDefault="006F1520" w:rsidP="00DE04D7">
      <w:pPr>
        <w:jc w:val="center"/>
        <w:rPr>
          <w:rFonts w:ascii="Arial" w:hAnsi="Arial" w:cs="Arial"/>
        </w:rPr>
      </w:pPr>
    </w:p>
    <w:p w14:paraId="660EB64D" w14:textId="73520A2F" w:rsidR="006F1520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b/>
          <w:bCs/>
        </w:rPr>
        <w:t>Session 3: Memory Divisions</w:t>
      </w:r>
      <w:r w:rsidRPr="00DE04D7">
        <w:rPr>
          <w:rFonts w:ascii="Arial" w:hAnsi="Arial" w:cs="Arial"/>
        </w:rPr>
        <w:t xml:space="preserve"> – Chair: Kristi Flake (Warwick)</w:t>
      </w:r>
    </w:p>
    <w:p w14:paraId="24E23768" w14:textId="77777777" w:rsidR="00DE04D7" w:rsidRPr="00DE04D7" w:rsidRDefault="00DE04D7" w:rsidP="00DE04D7">
      <w:pPr>
        <w:jc w:val="center"/>
        <w:rPr>
          <w:rFonts w:ascii="Arial" w:hAnsi="Arial" w:cs="Arial"/>
        </w:rPr>
      </w:pPr>
    </w:p>
    <w:p w14:paraId="5CB876CC" w14:textId="2D5D9B12" w:rsidR="006F1520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i/>
          <w:iCs/>
        </w:rPr>
        <w:t>Martin Duffy</w:t>
      </w:r>
      <w:r w:rsidRPr="00DE04D7">
        <w:rPr>
          <w:rFonts w:ascii="Arial" w:hAnsi="Arial" w:cs="Arial"/>
        </w:rPr>
        <w:t xml:space="preserve"> (Cambridge): ‘Parish Memory during the Irish Decade of Centenaries 2012-2022’</w:t>
      </w:r>
    </w:p>
    <w:p w14:paraId="06D37C9E" w14:textId="7B12CDE3" w:rsidR="006F1520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i/>
          <w:iCs/>
        </w:rPr>
        <w:t>Jim Reilly</w:t>
      </w:r>
      <w:r w:rsidRPr="00DE04D7">
        <w:rPr>
          <w:rFonts w:ascii="Arial" w:hAnsi="Arial" w:cs="Arial"/>
        </w:rPr>
        <w:t xml:space="preserve"> (Edinburgh): ‘The contested memory of religious persecution in the early modern Scottish parish’</w:t>
      </w:r>
    </w:p>
    <w:p w14:paraId="62F53FC0" w14:textId="77777777" w:rsidR="006F1520" w:rsidRPr="00DE04D7" w:rsidRDefault="006F1520" w:rsidP="00DE04D7">
      <w:pPr>
        <w:jc w:val="center"/>
        <w:rPr>
          <w:rFonts w:ascii="Arial" w:hAnsi="Arial" w:cs="Arial"/>
        </w:rPr>
      </w:pPr>
    </w:p>
    <w:p w14:paraId="69E22D0B" w14:textId="1B718131" w:rsidR="006F1520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b/>
          <w:bCs/>
        </w:rPr>
        <w:t>Session 4: Parishes Remembered</w:t>
      </w:r>
      <w:r w:rsidRPr="00DE04D7">
        <w:rPr>
          <w:rFonts w:ascii="Arial" w:hAnsi="Arial" w:cs="Arial"/>
        </w:rPr>
        <w:t xml:space="preserve"> – Chair: Miia Kuha (Jyväskylä)</w:t>
      </w:r>
    </w:p>
    <w:p w14:paraId="2C483D29" w14:textId="77777777" w:rsidR="00DE04D7" w:rsidRPr="00DE04D7" w:rsidRDefault="00DE04D7" w:rsidP="00DE04D7">
      <w:pPr>
        <w:jc w:val="center"/>
        <w:rPr>
          <w:rFonts w:ascii="Arial" w:hAnsi="Arial" w:cs="Arial"/>
        </w:rPr>
      </w:pPr>
    </w:p>
    <w:p w14:paraId="18C650C5" w14:textId="6C75F4DD" w:rsidR="00DE04D7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i/>
          <w:iCs/>
        </w:rPr>
        <w:t>Cheryl Butler</w:t>
      </w:r>
      <w:r w:rsidRPr="00DE04D7">
        <w:rPr>
          <w:rFonts w:ascii="Arial" w:hAnsi="Arial" w:cs="Arial"/>
        </w:rPr>
        <w:t xml:space="preserve"> (Winchester): ‘Why remember Peartree?’</w:t>
      </w:r>
    </w:p>
    <w:p w14:paraId="4DB3993B" w14:textId="043FA7BE" w:rsidR="00DE04D7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i/>
          <w:iCs/>
        </w:rPr>
        <w:t>Adinel Dinca</w:t>
      </w:r>
      <w:r w:rsidRPr="00DE04D7">
        <w:rPr>
          <w:rFonts w:ascii="Arial" w:hAnsi="Arial" w:cs="Arial"/>
        </w:rPr>
        <w:t xml:space="preserve"> (Cluj-Napoca): ‘Accessing the Memory in the Pre-Modern Parish of the Transylvanian Saxons’</w:t>
      </w:r>
    </w:p>
    <w:p w14:paraId="6E67185F" w14:textId="1912D567" w:rsidR="00DE04D7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i/>
          <w:iCs/>
        </w:rPr>
        <w:t>Aidan Jones</w:t>
      </w:r>
      <w:r w:rsidRPr="00DE04D7">
        <w:rPr>
          <w:rFonts w:ascii="Arial" w:hAnsi="Arial" w:cs="Arial"/>
        </w:rPr>
        <w:t xml:space="preserve"> (King’s London): ‘’The simple, pretty little village church’: Queen Victoria’s Isle of Wight Parish Church’</w:t>
      </w:r>
    </w:p>
    <w:p w14:paraId="5BBC784B" w14:textId="02919ECC" w:rsidR="00DE04D7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i/>
          <w:iCs/>
        </w:rPr>
        <w:t>Béla Vilmos Mihalik</w:t>
      </w:r>
      <w:r w:rsidRPr="00DE04D7">
        <w:rPr>
          <w:rFonts w:ascii="Arial" w:hAnsi="Arial" w:cs="Arial"/>
        </w:rPr>
        <w:t xml:space="preserve"> (Budapest): ‘Memory of the Old Parish: The Case of Hungary’</w:t>
      </w:r>
    </w:p>
    <w:p w14:paraId="39DDEFE4" w14:textId="77777777" w:rsidR="00DE04D7" w:rsidRPr="00DE04D7" w:rsidRDefault="00DE04D7" w:rsidP="00DE04D7">
      <w:pPr>
        <w:jc w:val="center"/>
        <w:rPr>
          <w:rFonts w:ascii="Arial" w:hAnsi="Arial" w:cs="Arial"/>
        </w:rPr>
      </w:pPr>
    </w:p>
    <w:p w14:paraId="0BC0B840" w14:textId="2785AB70" w:rsidR="00DE04D7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b/>
          <w:bCs/>
        </w:rPr>
        <w:t>Session 5: Parish Spaces</w:t>
      </w:r>
      <w:r w:rsidRPr="00DE04D7">
        <w:rPr>
          <w:rFonts w:ascii="Arial" w:hAnsi="Arial" w:cs="Arial"/>
        </w:rPr>
        <w:t xml:space="preserve"> – Chair: Andrew Foster (Kent)</w:t>
      </w:r>
    </w:p>
    <w:p w14:paraId="5FB7E6A4" w14:textId="77777777" w:rsidR="00DE04D7" w:rsidRPr="00DE04D7" w:rsidRDefault="00DE04D7" w:rsidP="00DE04D7">
      <w:pPr>
        <w:jc w:val="center"/>
        <w:rPr>
          <w:rFonts w:ascii="Arial" w:hAnsi="Arial" w:cs="Arial"/>
        </w:rPr>
      </w:pPr>
    </w:p>
    <w:p w14:paraId="0BDEC5D0" w14:textId="4E0EAB6D" w:rsidR="00DE04D7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i/>
          <w:iCs/>
        </w:rPr>
        <w:t>Jason Frost</w:t>
      </w:r>
      <w:r w:rsidRPr="00DE04D7">
        <w:rPr>
          <w:rFonts w:ascii="Arial" w:hAnsi="Arial" w:cs="Arial"/>
        </w:rPr>
        <w:t xml:space="preserve"> (Independent Scholar): ‘From Parochial Memory to Physical Memorialisation; How God’s Acre became Contested Space’</w:t>
      </w:r>
    </w:p>
    <w:p w14:paraId="3FAFFB82" w14:textId="7B6925DF" w:rsidR="00810D7A" w:rsidRPr="00DE04D7" w:rsidRDefault="006F1520" w:rsidP="00DE04D7">
      <w:pPr>
        <w:jc w:val="center"/>
        <w:rPr>
          <w:rFonts w:ascii="Arial" w:hAnsi="Arial" w:cs="Arial"/>
        </w:rPr>
      </w:pPr>
      <w:r w:rsidRPr="00DE04D7">
        <w:rPr>
          <w:rFonts w:ascii="Arial" w:hAnsi="Arial" w:cs="Arial"/>
          <w:i/>
          <w:iCs/>
        </w:rPr>
        <w:t>Kaye Sowden</w:t>
      </w:r>
      <w:r w:rsidRPr="00DE04D7">
        <w:rPr>
          <w:rFonts w:ascii="Arial" w:hAnsi="Arial" w:cs="Arial"/>
        </w:rPr>
        <w:t xml:space="preserve"> (Canterbury Christ Church): ‘An Ancient man of four score and ten: Bearing witness in parish disputes and the recording of happenings’</w:t>
      </w:r>
    </w:p>
    <w:sectPr w:rsidR="00810D7A" w:rsidRPr="00DE04D7">
      <w:headerReference w:type="default" r:id="rId12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BA177A" w14:textId="77777777" w:rsidR="00C922A8" w:rsidRDefault="00C922A8" w:rsidP="00A75E2B">
      <w:r>
        <w:separator/>
      </w:r>
    </w:p>
  </w:endnote>
  <w:endnote w:type="continuationSeparator" w:id="0">
    <w:p w14:paraId="16C3EEAF" w14:textId="77777777" w:rsidR="00C922A8" w:rsidRDefault="00C922A8" w:rsidP="00A75E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7F48ADE" w14:textId="77777777" w:rsidR="00C922A8" w:rsidRDefault="00C922A8" w:rsidP="00A75E2B">
      <w:r>
        <w:separator/>
      </w:r>
    </w:p>
  </w:footnote>
  <w:footnote w:type="continuationSeparator" w:id="0">
    <w:p w14:paraId="532E01F6" w14:textId="77777777" w:rsidR="00C922A8" w:rsidRDefault="00C922A8" w:rsidP="00A75E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256022263"/>
      <w:docPartObj>
        <w:docPartGallery w:val="Page Numbers (Top of Page)"/>
        <w:docPartUnique/>
      </w:docPartObj>
    </w:sdtPr>
    <w:sdtEndPr>
      <w:rPr>
        <w:noProof/>
      </w:rPr>
    </w:sdtEndPr>
    <w:sdtContent>
      <w:p w14:paraId="372F93CD" w14:textId="0EF0CC7A" w:rsidR="00A75E2B" w:rsidRDefault="00A75E2B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6A1C9C6" w14:textId="77777777" w:rsidR="00A75E2B" w:rsidRDefault="00A75E2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0D7A"/>
    <w:rsid w:val="000E19C3"/>
    <w:rsid w:val="0011540A"/>
    <w:rsid w:val="00193C73"/>
    <w:rsid w:val="00236797"/>
    <w:rsid w:val="00290E49"/>
    <w:rsid w:val="002F6A2D"/>
    <w:rsid w:val="003E4984"/>
    <w:rsid w:val="00422FB1"/>
    <w:rsid w:val="005022C0"/>
    <w:rsid w:val="00531C2C"/>
    <w:rsid w:val="00572D07"/>
    <w:rsid w:val="005B3D5B"/>
    <w:rsid w:val="005B535B"/>
    <w:rsid w:val="006953F8"/>
    <w:rsid w:val="0069598B"/>
    <w:rsid w:val="006D1A25"/>
    <w:rsid w:val="006F1520"/>
    <w:rsid w:val="0072718F"/>
    <w:rsid w:val="0074736A"/>
    <w:rsid w:val="007F70CE"/>
    <w:rsid w:val="0080125D"/>
    <w:rsid w:val="00810D7A"/>
    <w:rsid w:val="00881A8D"/>
    <w:rsid w:val="008943D0"/>
    <w:rsid w:val="008A7220"/>
    <w:rsid w:val="008C0D56"/>
    <w:rsid w:val="00A71055"/>
    <w:rsid w:val="00A75E2B"/>
    <w:rsid w:val="00A85CAB"/>
    <w:rsid w:val="00A923A0"/>
    <w:rsid w:val="00A94C56"/>
    <w:rsid w:val="00C05ABC"/>
    <w:rsid w:val="00C866C2"/>
    <w:rsid w:val="00C922A8"/>
    <w:rsid w:val="00DC5A67"/>
    <w:rsid w:val="00DE04D7"/>
    <w:rsid w:val="00E776C3"/>
    <w:rsid w:val="00FC3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1CD67DF"/>
  <w15:chartTrackingRefBased/>
  <w15:docId w15:val="{E49E5680-29CA-49F9-928D-7AEB8B3D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kern w:val="2"/>
        <w:lang w:val="en-GB" w:eastAsia="en-GB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kern w:val="0"/>
      <w:sz w:val="24"/>
      <w:szCs w:val="24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10D7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10D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10D7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10D7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10D7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10D7A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10D7A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10D7A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10D7A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10D7A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10D7A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10D7A"/>
    <w:rPr>
      <w:rFonts w:asciiTheme="minorHAnsi" w:eastAsiaTheme="majorEastAsia" w:hAnsiTheme="minorHAnsi" w:cstheme="majorBidi"/>
      <w:color w:val="0F4761" w:themeColor="accent1" w:themeShade="BF"/>
      <w:kern w:val="0"/>
      <w:sz w:val="28"/>
      <w:szCs w:val="28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10D7A"/>
    <w:rPr>
      <w:rFonts w:asciiTheme="minorHAnsi" w:eastAsiaTheme="majorEastAsia" w:hAnsiTheme="minorHAnsi" w:cstheme="majorBidi"/>
      <w:i/>
      <w:iCs/>
      <w:color w:val="0F4761" w:themeColor="accent1" w:themeShade="BF"/>
      <w:kern w:val="0"/>
      <w:sz w:val="24"/>
      <w:szCs w:val="24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10D7A"/>
    <w:rPr>
      <w:rFonts w:asciiTheme="minorHAnsi" w:eastAsiaTheme="majorEastAsia" w:hAnsiTheme="minorHAnsi" w:cstheme="majorBidi"/>
      <w:color w:val="0F4761" w:themeColor="accent1" w:themeShade="BF"/>
      <w:kern w:val="0"/>
      <w:sz w:val="24"/>
      <w:szCs w:val="24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10D7A"/>
    <w:rPr>
      <w:rFonts w:asciiTheme="minorHAnsi" w:eastAsiaTheme="majorEastAsia" w:hAnsiTheme="minorHAnsi" w:cstheme="majorBidi"/>
      <w:i/>
      <w:iCs/>
      <w:color w:val="595959" w:themeColor="text1" w:themeTint="A6"/>
      <w:kern w:val="0"/>
      <w:sz w:val="24"/>
      <w:szCs w:val="24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10D7A"/>
    <w:rPr>
      <w:rFonts w:asciiTheme="minorHAnsi" w:eastAsiaTheme="majorEastAsia" w:hAnsiTheme="minorHAnsi" w:cstheme="majorBidi"/>
      <w:color w:val="595959" w:themeColor="text1" w:themeTint="A6"/>
      <w:kern w:val="0"/>
      <w:sz w:val="24"/>
      <w:szCs w:val="24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10D7A"/>
    <w:rPr>
      <w:rFonts w:asciiTheme="minorHAnsi" w:eastAsiaTheme="majorEastAsia" w:hAnsiTheme="minorHAnsi" w:cstheme="majorBidi"/>
      <w:i/>
      <w:iCs/>
      <w:color w:val="272727" w:themeColor="text1" w:themeTint="D8"/>
      <w:kern w:val="0"/>
      <w:sz w:val="24"/>
      <w:szCs w:val="24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10D7A"/>
    <w:rPr>
      <w:rFonts w:asciiTheme="minorHAnsi" w:eastAsiaTheme="majorEastAsia" w:hAnsiTheme="minorHAnsi" w:cstheme="majorBidi"/>
      <w:color w:val="272727" w:themeColor="text1" w:themeTint="D8"/>
      <w:kern w:val="0"/>
      <w:sz w:val="24"/>
      <w:szCs w:val="24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810D7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10D7A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rsid w:val="00810D7A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10D7A"/>
    <w:rPr>
      <w:rFonts w:asciiTheme="minorHAnsi" w:eastAsiaTheme="majorEastAsia" w:hAnsiTheme="minorHAnsi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paragraph" w:styleId="Quote">
    <w:name w:val="Quote"/>
    <w:basedOn w:val="Normal"/>
    <w:next w:val="Normal"/>
    <w:link w:val="QuoteChar"/>
    <w:uiPriority w:val="29"/>
    <w:qFormat/>
    <w:rsid w:val="00810D7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10D7A"/>
    <w:rPr>
      <w:i/>
      <w:iCs/>
      <w:color w:val="404040" w:themeColor="text1" w:themeTint="BF"/>
      <w:kern w:val="0"/>
      <w:sz w:val="24"/>
      <w:szCs w:val="24"/>
      <w14:ligatures w14:val="none"/>
    </w:rPr>
  </w:style>
  <w:style w:type="paragraph" w:styleId="ListParagraph">
    <w:name w:val="List Paragraph"/>
    <w:basedOn w:val="Normal"/>
    <w:uiPriority w:val="34"/>
    <w:qFormat/>
    <w:rsid w:val="00810D7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10D7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10D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10D7A"/>
    <w:rPr>
      <w:i/>
      <w:iCs/>
      <w:color w:val="0F4761" w:themeColor="accent1" w:themeShade="BF"/>
      <w:kern w:val="0"/>
      <w:sz w:val="24"/>
      <w:szCs w:val="24"/>
      <w14:ligatures w14:val="none"/>
    </w:rPr>
  </w:style>
  <w:style w:type="character" w:styleId="IntenseReference">
    <w:name w:val="Intense Reference"/>
    <w:basedOn w:val="DefaultParagraphFont"/>
    <w:uiPriority w:val="32"/>
    <w:qFormat/>
    <w:rsid w:val="00810D7A"/>
    <w:rPr>
      <w:b/>
      <w:bCs/>
      <w:smallCaps/>
      <w:color w:val="0F4761" w:themeColor="accent1" w:themeShade="BF"/>
      <w:spacing w:val="5"/>
    </w:rPr>
  </w:style>
  <w:style w:type="character" w:customStyle="1" w:styleId="contentpasted0">
    <w:name w:val="contentpasted0"/>
    <w:basedOn w:val="DefaultParagraphFont"/>
    <w:rsid w:val="00810D7A"/>
  </w:style>
  <w:style w:type="character" w:styleId="Hyperlink">
    <w:name w:val="Hyperlink"/>
    <w:basedOn w:val="DefaultParagraphFont"/>
    <w:uiPriority w:val="99"/>
    <w:unhideWhenUsed/>
    <w:rsid w:val="00810D7A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C3675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A75E2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75E2B"/>
    <w:rPr>
      <w:kern w:val="0"/>
      <w:sz w:val="24"/>
      <w:szCs w:val="24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75E2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75E2B"/>
    <w:rPr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arwick.ac.uk/towercapsules" TargetMode="External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http://warwick.ac.uk/my-parish/parishsymposia/memory/" TargetMode="External"/><Relationship Id="rId5" Type="http://schemas.openxmlformats.org/officeDocument/2006/relationships/endnotes" Target="endnotes.xml"/><Relationship Id="rId10" Type="http://schemas.openxmlformats.org/officeDocument/2006/relationships/image" Target="media/image3.jpeg"/><Relationship Id="rId4" Type="http://schemas.openxmlformats.org/officeDocument/2006/relationships/footnotes" Target="footnotes.xml"/><Relationship Id="rId9" Type="http://schemas.openxmlformats.org/officeDocument/2006/relationships/hyperlink" Target="http://warwick.ac.uk/my-parish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971</Words>
  <Characters>6009</Characters>
  <Application>Microsoft Office Word</Application>
  <DocSecurity>0</DocSecurity>
  <Lines>50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Kümin, Beat</dc:creator>
  <cp:keywords/>
  <dc:description/>
  <cp:lastModifiedBy>Rae, Sue</cp:lastModifiedBy>
  <cp:revision>3</cp:revision>
  <dcterms:created xsi:type="dcterms:W3CDTF">2024-05-17T09:40:00Z</dcterms:created>
  <dcterms:modified xsi:type="dcterms:W3CDTF">2024-05-17T09:43:00Z</dcterms:modified>
</cp:coreProperties>
</file>