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2EAFB1DB" w14:textId="555CF00B" w:rsidR="00926FB8" w:rsidRPr="00171B8B" w:rsidRDefault="00F146CD" w:rsidP="00926FB8">
      <w:pPr>
        <w:spacing w:line="0" w:lineRule="atLeast"/>
        <w:ind w:right="-19"/>
        <w:rPr>
          <w:rFonts w:asciiTheme="minorHAnsi" w:eastAsia="Arial" w:hAnsiTheme="minorHAnsi"/>
          <w:b/>
          <w:color w:val="000000" w:themeColor="text1"/>
        </w:rPr>
      </w:pPr>
      <w:bookmarkStart w:id="0" w:name="page1"/>
      <w:bookmarkEnd w:id="0"/>
      <w:r>
        <w:rPr>
          <w:rFonts w:asciiTheme="minorHAnsi" w:eastAsia="Arial" w:hAnsiTheme="minorHAnsi"/>
          <w:b/>
          <w:noProof/>
          <w:color w:val="000000" w:themeColor="text1"/>
        </w:rPr>
        <w:drawing>
          <wp:anchor distT="0" distB="0" distL="114300" distR="114300" simplePos="0" relativeHeight="251658240" behindDoc="0" locked="0" layoutInCell="1" allowOverlap="1" wp14:anchorId="12544921" wp14:editId="12E0A8E6">
            <wp:simplePos x="0" y="0"/>
            <wp:positionH relativeFrom="column">
              <wp:posOffset>3952875</wp:posOffset>
            </wp:positionH>
            <wp:positionV relativeFrom="paragraph">
              <wp:posOffset>0</wp:posOffset>
            </wp:positionV>
            <wp:extent cx="1811655" cy="1404620"/>
            <wp:effectExtent l="0" t="0" r="0" b="5080"/>
            <wp:wrapThrough wrapText="bothSides">
              <wp:wrapPolygon edited="0">
                <wp:start x="0" y="0"/>
                <wp:lineTo x="0" y="21385"/>
                <wp:lineTo x="21350" y="21385"/>
                <wp:lineTo x="21350"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y-Parish logo.jpg"/>
                    <pic:cNvPicPr/>
                  </pic:nvPicPr>
                  <pic:blipFill>
                    <a:blip r:embed="rId6">
                      <a:extLst>
                        <a:ext uri="{28A0092B-C50C-407E-A947-70E740481C1C}">
                          <a14:useLocalDpi xmlns:a14="http://schemas.microsoft.com/office/drawing/2010/main" val="0"/>
                        </a:ext>
                      </a:extLst>
                    </a:blip>
                    <a:stretch>
                      <a:fillRect/>
                    </a:stretch>
                  </pic:blipFill>
                  <pic:spPr>
                    <a:xfrm>
                      <a:off x="0" y="0"/>
                      <a:ext cx="1811655" cy="1404620"/>
                    </a:xfrm>
                    <a:prstGeom prst="rect">
                      <a:avLst/>
                    </a:prstGeom>
                  </pic:spPr>
                </pic:pic>
              </a:graphicData>
            </a:graphic>
            <wp14:sizeRelH relativeFrom="page">
              <wp14:pctWidth>0</wp14:pctWidth>
            </wp14:sizeRelH>
            <wp14:sizeRelV relativeFrom="page">
              <wp14:pctHeight>0</wp14:pctHeight>
            </wp14:sizeRelV>
          </wp:anchor>
        </w:drawing>
      </w:r>
      <w:r w:rsidR="00926FB8" w:rsidRPr="00171B8B">
        <w:rPr>
          <w:rFonts w:asciiTheme="minorHAnsi" w:eastAsia="Arial" w:hAnsiTheme="minorHAnsi"/>
          <w:b/>
          <w:color w:val="000000" w:themeColor="text1"/>
        </w:rPr>
        <w:t>Sixteenth Warwick Symposium on Parish Research</w:t>
      </w:r>
    </w:p>
    <w:p w14:paraId="2546EF42" w14:textId="76FF135A" w:rsidR="00926FB8" w:rsidRPr="00171B8B" w:rsidRDefault="00926FB8" w:rsidP="00926FB8">
      <w:pPr>
        <w:spacing w:line="0" w:lineRule="atLeast"/>
        <w:rPr>
          <w:rFonts w:asciiTheme="minorHAnsi" w:eastAsia="Arial" w:hAnsiTheme="minorHAnsi"/>
          <w:b/>
          <w:color w:val="000000" w:themeColor="text1"/>
        </w:rPr>
      </w:pPr>
      <w:r w:rsidRPr="00171B8B">
        <w:rPr>
          <w:rFonts w:asciiTheme="minorHAnsi" w:eastAsia="Arial" w:hAnsiTheme="minorHAnsi"/>
          <w:b/>
          <w:color w:val="000000" w:themeColor="text1"/>
        </w:rPr>
        <w:t>‘Parishes and Migration’, Saturday 12</w:t>
      </w:r>
      <w:r w:rsidR="00171B8B" w:rsidRPr="00171B8B">
        <w:rPr>
          <w:rFonts w:asciiTheme="minorHAnsi" w:eastAsia="Arial" w:hAnsiTheme="minorHAnsi"/>
          <w:b/>
          <w:color w:val="000000" w:themeColor="text1"/>
          <w:vertAlign w:val="superscript"/>
        </w:rPr>
        <w:t>th</w:t>
      </w:r>
      <w:r w:rsidR="00171B8B" w:rsidRPr="00171B8B">
        <w:rPr>
          <w:rFonts w:asciiTheme="minorHAnsi" w:eastAsia="Arial" w:hAnsiTheme="minorHAnsi"/>
          <w:b/>
          <w:color w:val="000000" w:themeColor="text1"/>
        </w:rPr>
        <w:t xml:space="preserve"> </w:t>
      </w:r>
      <w:r w:rsidRPr="00171B8B">
        <w:rPr>
          <w:rFonts w:asciiTheme="minorHAnsi" w:eastAsia="Arial" w:hAnsiTheme="minorHAnsi"/>
          <w:b/>
          <w:color w:val="000000" w:themeColor="text1"/>
        </w:rPr>
        <w:t>May 2018</w:t>
      </w:r>
    </w:p>
    <w:p w14:paraId="2D558281" w14:textId="77777777" w:rsidR="00926FB8" w:rsidRPr="00171B8B" w:rsidRDefault="00926FB8" w:rsidP="00926FB8">
      <w:pPr>
        <w:spacing w:line="0" w:lineRule="atLeast"/>
        <w:ind w:right="-19"/>
        <w:rPr>
          <w:rFonts w:asciiTheme="minorHAnsi" w:eastAsia="Arial" w:hAnsiTheme="minorHAnsi"/>
          <w:color w:val="000000" w:themeColor="text1"/>
        </w:rPr>
      </w:pPr>
    </w:p>
    <w:p w14:paraId="447C6C4D" w14:textId="77777777" w:rsidR="00926FB8" w:rsidRPr="00171B8B" w:rsidRDefault="00926FB8" w:rsidP="00926FB8">
      <w:pPr>
        <w:spacing w:line="0" w:lineRule="atLeast"/>
        <w:ind w:right="-19"/>
        <w:jc w:val="both"/>
        <w:rPr>
          <w:rFonts w:asciiTheme="minorHAnsi" w:eastAsia="Arial" w:hAnsiTheme="minorHAnsi"/>
          <w:color w:val="000000" w:themeColor="text1"/>
        </w:rPr>
      </w:pPr>
      <w:r w:rsidRPr="00171B8B">
        <w:rPr>
          <w:rFonts w:asciiTheme="minorHAnsi" w:hAnsiTheme="minorHAnsi"/>
          <w:color w:val="000000" w:themeColor="text1"/>
        </w:rPr>
        <w:t>This year’s symposium looked at parishes and migration. At the outset, d</w:t>
      </w:r>
      <w:r w:rsidRPr="00171B8B">
        <w:rPr>
          <w:rFonts w:asciiTheme="minorHAnsi" w:eastAsia="Arial" w:hAnsiTheme="minorHAnsi"/>
          <w:color w:val="000000" w:themeColor="text1"/>
        </w:rPr>
        <w:t xml:space="preserve">elegates were welcomed by co-hosts BEAT KÜMIN and FELICITA TRAMONTANA (Warwick) who introduced the theme and thanked the Humanities Research Centre and the European Commission’s </w:t>
      </w:r>
      <w:r w:rsidRPr="00171B8B">
        <w:rPr>
          <w:rFonts w:asciiTheme="minorHAnsi" w:hAnsiTheme="minorHAnsi"/>
          <w:color w:val="000000" w:themeColor="text1"/>
        </w:rPr>
        <w:t xml:space="preserve">Marie </w:t>
      </w:r>
      <w:proofErr w:type="spellStart"/>
      <w:r w:rsidRPr="00171B8B">
        <w:rPr>
          <w:rFonts w:asciiTheme="minorHAnsi" w:hAnsiTheme="minorHAnsi"/>
          <w:color w:val="000000" w:themeColor="text1"/>
        </w:rPr>
        <w:t>Skłodowska</w:t>
      </w:r>
      <w:proofErr w:type="spellEnd"/>
      <w:r w:rsidRPr="00171B8B">
        <w:rPr>
          <w:rFonts w:asciiTheme="minorHAnsi" w:hAnsiTheme="minorHAnsi"/>
          <w:color w:val="000000" w:themeColor="text1"/>
        </w:rPr>
        <w:t>-Curie actions</w:t>
      </w:r>
      <w:r w:rsidRPr="00171B8B">
        <w:rPr>
          <w:rFonts w:asciiTheme="minorHAnsi" w:eastAsia="Arial" w:hAnsiTheme="minorHAnsi"/>
          <w:color w:val="000000" w:themeColor="text1"/>
        </w:rPr>
        <w:t xml:space="preserve"> for their support. </w:t>
      </w:r>
    </w:p>
    <w:p w14:paraId="74538CDA" w14:textId="77777777" w:rsidR="00926FB8" w:rsidRPr="00171B8B" w:rsidRDefault="00926FB8" w:rsidP="00926FB8">
      <w:pPr>
        <w:spacing w:line="0" w:lineRule="atLeast"/>
        <w:ind w:right="-19"/>
        <w:jc w:val="both"/>
        <w:rPr>
          <w:rFonts w:asciiTheme="minorHAnsi" w:eastAsia="Arial" w:hAnsiTheme="minorHAnsi"/>
          <w:color w:val="000000" w:themeColor="text1"/>
        </w:rPr>
      </w:pPr>
    </w:p>
    <w:p w14:paraId="4FBC33A1" w14:textId="77777777" w:rsidR="00F146CD" w:rsidRDefault="00F146CD" w:rsidP="00926FB8">
      <w:pPr>
        <w:spacing w:line="0" w:lineRule="atLeast"/>
        <w:ind w:right="-19"/>
        <w:jc w:val="both"/>
        <w:rPr>
          <w:rFonts w:asciiTheme="minorHAnsi" w:eastAsia="Arial" w:hAnsiTheme="minorHAnsi"/>
          <w:color w:val="000000" w:themeColor="text1"/>
        </w:rPr>
      </w:pPr>
    </w:p>
    <w:p w14:paraId="444F80F4" w14:textId="77777777" w:rsidR="00926FB8" w:rsidRPr="00171B8B" w:rsidRDefault="00926FB8" w:rsidP="00926FB8">
      <w:pPr>
        <w:spacing w:line="0" w:lineRule="atLeast"/>
        <w:ind w:right="-19"/>
        <w:jc w:val="both"/>
        <w:rPr>
          <w:rFonts w:asciiTheme="minorHAnsi" w:eastAsia="Arial" w:hAnsiTheme="minorHAnsi"/>
          <w:color w:val="000000" w:themeColor="text1"/>
        </w:rPr>
      </w:pPr>
      <w:r w:rsidRPr="00171B8B">
        <w:rPr>
          <w:rFonts w:asciiTheme="minorHAnsi" w:eastAsia="Arial" w:hAnsiTheme="minorHAnsi"/>
          <w:color w:val="000000" w:themeColor="text1"/>
        </w:rPr>
        <w:t xml:space="preserve">RICHARD M. SMITH (Cambridge) delivered the keynote address covering a wide range of themes from pre-Black Death times through to the modern era. Revisiting theses advanced by Peter </w:t>
      </w:r>
      <w:proofErr w:type="spellStart"/>
      <w:r w:rsidRPr="00171B8B">
        <w:rPr>
          <w:rFonts w:asciiTheme="minorHAnsi" w:eastAsia="Arial" w:hAnsiTheme="minorHAnsi"/>
          <w:color w:val="000000" w:themeColor="text1"/>
        </w:rPr>
        <w:t>Laslett</w:t>
      </w:r>
      <w:proofErr w:type="spellEnd"/>
      <w:r w:rsidRPr="00171B8B">
        <w:rPr>
          <w:rFonts w:asciiTheme="minorHAnsi" w:eastAsia="Arial" w:hAnsiTheme="minorHAnsi"/>
          <w:color w:val="000000" w:themeColor="text1"/>
        </w:rPr>
        <w:t xml:space="preserve"> fifty-five years ago, he stressed the current scholarly consensus that pre-modern migration was much more prevalent than once believed and explored the different sources and methods utilised by historians and demographers. Until recently, attention had often focused on the least mobile in society (for the practical advantages of the continuity of their birth, marriage, and death records) and thus the broadly defined ‘middling sort’. Among the many challenges, Smith noted that – for administrative reasons – individuals’ named locations in parish registers did not necessarily reflect their places of residence. He also drew attention to the importance of links between towns and the countryside, suggesting that rural migration was vital to underpinning the industrial developments of the early modern era.</w:t>
      </w:r>
    </w:p>
    <w:p w14:paraId="3912F0ED" w14:textId="77777777" w:rsidR="00926FB8" w:rsidRPr="00171B8B" w:rsidRDefault="00926FB8" w:rsidP="00926FB8">
      <w:pPr>
        <w:spacing w:line="0" w:lineRule="atLeast"/>
        <w:ind w:right="-19"/>
        <w:jc w:val="both"/>
        <w:rPr>
          <w:rFonts w:asciiTheme="minorHAnsi" w:eastAsia="Arial" w:hAnsiTheme="minorHAnsi"/>
          <w:color w:val="000000" w:themeColor="text1"/>
        </w:rPr>
      </w:pPr>
    </w:p>
    <w:p w14:paraId="26B1773C" w14:textId="2D799D28" w:rsidR="00926FB8" w:rsidRPr="00171B8B" w:rsidRDefault="00926FB8" w:rsidP="00926FB8">
      <w:pPr>
        <w:spacing w:line="0" w:lineRule="atLeast"/>
        <w:ind w:right="-19"/>
        <w:jc w:val="both"/>
        <w:rPr>
          <w:rFonts w:asciiTheme="minorHAnsi" w:eastAsia="Arial" w:hAnsiTheme="minorHAnsi"/>
          <w:color w:val="000000" w:themeColor="text1"/>
        </w:rPr>
      </w:pPr>
      <w:r w:rsidRPr="00171B8B">
        <w:rPr>
          <w:rFonts w:asciiTheme="minorHAnsi" w:eastAsia="Arial" w:hAnsiTheme="minorHAnsi"/>
          <w:color w:val="000000" w:themeColor="text1"/>
        </w:rPr>
        <w:t>The subsequent six papers and discussion sessions focused on three broad questions. Firstly, what was the role of the parish? While agreeing on its key role, some speakers warned that too exclusive a focus on this unit obscured other agents, factors and institutions. The multiple forms of mobility evident in the day’s papers demonstrated that pre-modern horizons stretched from the local to the global. Neither was all religious activity in England contained within the parish, with nonconformist preachers becoming particularly prominent after the ‘Great Ejection’ of 2,000 clergy following the 1662 Act of Uniformity.</w:t>
      </w:r>
    </w:p>
    <w:p w14:paraId="0138090D" w14:textId="77777777" w:rsidR="00926FB8" w:rsidRPr="00171B8B" w:rsidRDefault="00926FB8" w:rsidP="00926FB8">
      <w:pPr>
        <w:spacing w:line="0" w:lineRule="atLeast"/>
        <w:ind w:right="-19"/>
        <w:jc w:val="both"/>
        <w:rPr>
          <w:rFonts w:asciiTheme="minorHAnsi" w:eastAsia="Arial" w:hAnsiTheme="minorHAnsi"/>
          <w:color w:val="000000" w:themeColor="text1"/>
        </w:rPr>
      </w:pPr>
    </w:p>
    <w:p w14:paraId="5DBFD970" w14:textId="77777777" w:rsidR="00926FB8" w:rsidRPr="00171B8B" w:rsidRDefault="00926FB8" w:rsidP="00926FB8">
      <w:pPr>
        <w:spacing w:line="0" w:lineRule="atLeast"/>
        <w:ind w:right="-19"/>
        <w:jc w:val="both"/>
        <w:rPr>
          <w:rFonts w:asciiTheme="minorHAnsi" w:eastAsia="Arial" w:hAnsiTheme="minorHAnsi"/>
          <w:color w:val="000000" w:themeColor="text1"/>
        </w:rPr>
      </w:pPr>
      <w:r w:rsidRPr="00171B8B">
        <w:rPr>
          <w:rFonts w:asciiTheme="minorHAnsi" w:eastAsia="Arial" w:hAnsiTheme="minorHAnsi"/>
          <w:color w:val="000000" w:themeColor="text1"/>
        </w:rPr>
        <w:t xml:space="preserve">Secondly, how distinctive was the situation in England? Comparisons to German territorial states noted the prevalence of dissent in English communities. Palestinian evidence highlighted the administration of sacraments as a major factor in local mobility, something also known from the large parishes of northern England. The experiences of Irish and Italian migrants varied, some achieving integration or amicable co-existence, while others faced </w:t>
      </w:r>
      <w:proofErr w:type="spellStart"/>
      <w:r w:rsidRPr="00171B8B">
        <w:rPr>
          <w:rFonts w:asciiTheme="minorHAnsi" w:eastAsia="Arial" w:hAnsiTheme="minorHAnsi"/>
          <w:color w:val="000000" w:themeColor="text1"/>
        </w:rPr>
        <w:t>ostracisation</w:t>
      </w:r>
      <w:proofErr w:type="spellEnd"/>
      <w:r w:rsidRPr="00171B8B">
        <w:rPr>
          <w:rFonts w:asciiTheme="minorHAnsi" w:eastAsia="Arial" w:hAnsiTheme="minorHAnsi"/>
          <w:color w:val="000000" w:themeColor="text1"/>
        </w:rPr>
        <w:t>.</w:t>
      </w:r>
    </w:p>
    <w:p w14:paraId="240593DA" w14:textId="77777777" w:rsidR="00926FB8" w:rsidRPr="00171B8B" w:rsidRDefault="00926FB8" w:rsidP="00926FB8">
      <w:pPr>
        <w:spacing w:line="0" w:lineRule="atLeast"/>
        <w:ind w:right="-19"/>
        <w:jc w:val="both"/>
        <w:rPr>
          <w:rFonts w:asciiTheme="minorHAnsi" w:eastAsia="Arial" w:hAnsiTheme="minorHAnsi"/>
          <w:color w:val="000000" w:themeColor="text1"/>
        </w:rPr>
      </w:pPr>
    </w:p>
    <w:p w14:paraId="0505E24C" w14:textId="77777777" w:rsidR="00926FB8" w:rsidRPr="00171B8B" w:rsidRDefault="00926FB8" w:rsidP="00926FB8">
      <w:pPr>
        <w:spacing w:line="0" w:lineRule="atLeast"/>
        <w:ind w:right="-19"/>
        <w:jc w:val="both"/>
        <w:rPr>
          <w:rFonts w:asciiTheme="minorHAnsi" w:eastAsia="Arial" w:hAnsiTheme="minorHAnsi"/>
          <w:color w:val="000000" w:themeColor="text1"/>
        </w:rPr>
      </w:pPr>
      <w:r w:rsidRPr="00171B8B">
        <w:rPr>
          <w:rFonts w:asciiTheme="minorHAnsi" w:eastAsia="Arial" w:hAnsiTheme="minorHAnsi"/>
          <w:color w:val="000000" w:themeColor="text1"/>
        </w:rPr>
        <w:t>Thirdly, how did the nature of migration develop across time? While late medieval parishes had tried to attract pilgrims with shrines, a few decades later they actively stemmed the influx of the poor for financial reasons. ‘Gadding to sermons’, the practice of travelling to hear particular godly preachers, emerged as another post-Reformation phenomenon. The year 1689 was identified as a watershed moment, when Protestant nonconformists received formal permission to worship in places other than the parish church. The modern period, finally, saw greater parish poor relief collaborations, in forms such as workhouse unions.</w:t>
      </w:r>
    </w:p>
    <w:p w14:paraId="4DC737C1" w14:textId="77777777" w:rsidR="00926FB8" w:rsidRPr="00171B8B" w:rsidRDefault="00926FB8" w:rsidP="00926FB8">
      <w:pPr>
        <w:spacing w:line="0" w:lineRule="atLeast"/>
        <w:ind w:right="-19"/>
        <w:jc w:val="both"/>
        <w:rPr>
          <w:rFonts w:asciiTheme="minorHAnsi" w:eastAsia="Arial" w:hAnsiTheme="minorHAnsi"/>
          <w:color w:val="000000" w:themeColor="text1"/>
        </w:rPr>
      </w:pPr>
    </w:p>
    <w:p w14:paraId="12CE6353" w14:textId="77777777" w:rsidR="00926FB8" w:rsidRPr="00171B8B" w:rsidRDefault="00926FB8" w:rsidP="00926FB8">
      <w:pPr>
        <w:spacing w:line="0" w:lineRule="atLeast"/>
        <w:ind w:right="-19"/>
        <w:jc w:val="both"/>
        <w:rPr>
          <w:rFonts w:asciiTheme="minorHAnsi" w:eastAsia="Arial" w:hAnsiTheme="minorHAnsi"/>
        </w:rPr>
      </w:pPr>
      <w:r w:rsidRPr="00171B8B">
        <w:rPr>
          <w:rFonts w:asciiTheme="minorHAnsi" w:eastAsia="Arial" w:hAnsiTheme="minorHAnsi"/>
          <w:color w:val="000000" w:themeColor="text1"/>
        </w:rPr>
        <w:t>An extended report and supporting materials can be found on the My</w:t>
      </w:r>
      <w:r w:rsidRPr="00171B8B">
        <w:rPr>
          <w:rFonts w:asciiTheme="minorHAnsi" w:eastAsia="Arial" w:hAnsiTheme="minorHAnsi"/>
        </w:rPr>
        <w:t>-Parish site (</w:t>
      </w:r>
      <w:hyperlink r:id="rId7" w:history="1">
        <w:r w:rsidRPr="00171B8B">
          <w:rPr>
            <w:rStyle w:val="Hyperlink"/>
            <w:rFonts w:asciiTheme="minorHAnsi" w:eastAsia="Arial" w:hAnsiTheme="minorHAnsi"/>
          </w:rPr>
          <w:t>http://warwick.ac.uk/my-parish/parishsymposia/2018migration/</w:t>
        </w:r>
      </w:hyperlink>
      <w:r w:rsidRPr="00171B8B">
        <w:rPr>
          <w:rFonts w:asciiTheme="minorHAnsi" w:eastAsia="Arial" w:hAnsiTheme="minorHAnsi"/>
        </w:rPr>
        <w:t>).</w:t>
      </w:r>
    </w:p>
    <w:p w14:paraId="30A0CCE2" w14:textId="77777777" w:rsidR="00926FB8" w:rsidRPr="00171B8B" w:rsidRDefault="00926FB8" w:rsidP="00926FB8">
      <w:pPr>
        <w:spacing w:line="0" w:lineRule="atLeast"/>
        <w:ind w:right="-19"/>
        <w:jc w:val="both"/>
        <w:rPr>
          <w:rFonts w:asciiTheme="minorHAnsi" w:eastAsia="Arial" w:hAnsiTheme="minorHAnsi"/>
        </w:rPr>
      </w:pPr>
    </w:p>
    <w:p w14:paraId="6EB2BF27" w14:textId="0CF86ABF" w:rsidR="00926FB8" w:rsidRPr="00171B8B" w:rsidRDefault="00926FB8" w:rsidP="00926FB8">
      <w:pPr>
        <w:spacing w:line="0" w:lineRule="atLeast"/>
        <w:ind w:right="-19"/>
        <w:jc w:val="both"/>
        <w:rPr>
          <w:rFonts w:asciiTheme="minorHAnsi" w:eastAsia="Arial" w:hAnsiTheme="minorHAnsi"/>
        </w:rPr>
      </w:pPr>
      <w:r w:rsidRPr="00171B8B">
        <w:rPr>
          <w:rFonts w:asciiTheme="minorHAnsi" w:eastAsia="Arial" w:hAnsiTheme="minorHAnsi"/>
        </w:rPr>
        <w:t>The 17th Symposium will take place on Saturday 18</w:t>
      </w:r>
      <w:r w:rsidR="00171B8B" w:rsidRPr="00171B8B">
        <w:rPr>
          <w:rFonts w:asciiTheme="minorHAnsi" w:eastAsia="Arial" w:hAnsiTheme="minorHAnsi"/>
          <w:vertAlign w:val="superscript"/>
        </w:rPr>
        <w:t>th</w:t>
      </w:r>
      <w:r w:rsidR="00171B8B">
        <w:rPr>
          <w:rFonts w:asciiTheme="minorHAnsi" w:eastAsia="Arial" w:hAnsiTheme="minorHAnsi"/>
        </w:rPr>
        <w:t xml:space="preserve"> </w:t>
      </w:r>
      <w:r w:rsidRPr="00171B8B">
        <w:rPr>
          <w:rFonts w:asciiTheme="minorHAnsi" w:eastAsia="Arial" w:hAnsiTheme="minorHAnsi"/>
        </w:rPr>
        <w:t>May 2019 on the theme of ‘Parish Participation’ with a special regional emphasis on Scandinavia.</w:t>
      </w:r>
    </w:p>
    <w:p w14:paraId="5A5C256A" w14:textId="77777777" w:rsidR="00926FB8" w:rsidRPr="00171B8B" w:rsidRDefault="00926FB8" w:rsidP="00926FB8">
      <w:pPr>
        <w:spacing w:line="0" w:lineRule="atLeast"/>
        <w:ind w:right="-19"/>
        <w:rPr>
          <w:rFonts w:asciiTheme="minorHAnsi" w:eastAsia="Arial" w:hAnsiTheme="minorHAnsi"/>
        </w:rPr>
      </w:pPr>
    </w:p>
    <w:p w14:paraId="5063DB3D" w14:textId="30C0B23D" w:rsidR="00926FB8" w:rsidRDefault="00926FB8" w:rsidP="00171B8B">
      <w:pPr>
        <w:spacing w:line="0" w:lineRule="atLeast"/>
        <w:ind w:right="-19"/>
        <w:jc w:val="right"/>
        <w:rPr>
          <w:rFonts w:asciiTheme="minorHAnsi" w:eastAsia="Arial" w:hAnsiTheme="minorHAnsi"/>
        </w:rPr>
      </w:pPr>
      <w:r w:rsidRPr="00171B8B">
        <w:rPr>
          <w:rFonts w:asciiTheme="minorHAnsi" w:eastAsia="Arial" w:hAnsiTheme="minorHAnsi"/>
        </w:rPr>
        <w:t>Joe Chick</w:t>
      </w:r>
      <w:r w:rsidR="00171B8B">
        <w:rPr>
          <w:rFonts w:asciiTheme="minorHAnsi" w:eastAsia="Arial" w:hAnsiTheme="minorHAnsi"/>
        </w:rPr>
        <w:t xml:space="preserve">, </w:t>
      </w:r>
      <w:r w:rsidRPr="00171B8B">
        <w:rPr>
          <w:rFonts w:asciiTheme="minorHAnsi" w:eastAsia="Arial" w:hAnsiTheme="minorHAnsi"/>
        </w:rPr>
        <w:t>History</w:t>
      </w:r>
    </w:p>
    <w:p w14:paraId="3123DB75" w14:textId="77777777" w:rsidR="00171B8B" w:rsidRDefault="00171B8B" w:rsidP="00171B8B">
      <w:pPr>
        <w:spacing w:line="0" w:lineRule="atLeast"/>
        <w:ind w:right="-19"/>
        <w:jc w:val="right"/>
        <w:rPr>
          <w:rFonts w:asciiTheme="minorHAnsi" w:eastAsia="Arial" w:hAnsiTheme="minorHAnsi"/>
        </w:rPr>
      </w:pPr>
    </w:p>
    <w:p w14:paraId="47A6E894" w14:textId="77777777" w:rsidR="00171B8B" w:rsidRPr="00171B8B" w:rsidRDefault="00171B8B" w:rsidP="00171B8B">
      <w:pPr>
        <w:spacing w:line="0" w:lineRule="atLeast"/>
        <w:ind w:right="-19"/>
        <w:jc w:val="right"/>
        <w:rPr>
          <w:rFonts w:asciiTheme="minorHAnsi" w:eastAsia="Arial" w:hAnsiTheme="minorHAnsi"/>
        </w:rPr>
      </w:pPr>
    </w:p>
    <w:p w14:paraId="5F601C10" w14:textId="3DB6F3B1" w:rsidR="009F042A" w:rsidRPr="00171B8B" w:rsidRDefault="009F042A" w:rsidP="00926FB8">
      <w:pPr>
        <w:rPr>
          <w:rFonts w:asciiTheme="minorHAnsi" w:hAnsiTheme="minorHAnsi"/>
        </w:rPr>
      </w:pPr>
      <w:bookmarkStart w:id="1" w:name="_GoBack"/>
      <w:bookmarkEnd w:id="1"/>
    </w:p>
    <w:sectPr w:rsidR="009F042A" w:rsidRPr="00171B8B">
      <w:headerReference w:type="even" r:id="rId8"/>
      <w:headerReference w:type="default" r:id="rId9"/>
      <w:footerReference w:type="even" r:id="rId10"/>
      <w:footerReference w:type="default" r:id="rId11"/>
      <w:headerReference w:type="first" r:id="rId12"/>
      <w:footerReference w:type="first" r:id="rId13"/>
      <w:pgSz w:w="11900" w:h="16838"/>
      <w:pgMar w:top="1423" w:right="1440" w:bottom="1440" w:left="1440" w:header="0" w:footer="0" w:gutter="0"/>
      <w:cols w:space="0" w:equalWidth="0">
        <w:col w:w="9026"/>
      </w:cols>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C039DE" w14:textId="77777777" w:rsidR="00687F5D" w:rsidRDefault="00687F5D" w:rsidP="009F7ADF">
      <w:r>
        <w:separator/>
      </w:r>
    </w:p>
  </w:endnote>
  <w:endnote w:type="continuationSeparator" w:id="0">
    <w:p w14:paraId="72AC7033" w14:textId="77777777" w:rsidR="00687F5D" w:rsidRDefault="00687F5D" w:rsidP="009F7A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D78739" w14:textId="77777777" w:rsidR="009F7ADF" w:rsidRDefault="009F7AD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FEECB" w14:textId="77777777" w:rsidR="009F7ADF" w:rsidRDefault="009F7AD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C232A7" w14:textId="77777777" w:rsidR="009F7ADF" w:rsidRDefault="009F7AD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7E82D3" w14:textId="77777777" w:rsidR="00687F5D" w:rsidRDefault="00687F5D" w:rsidP="009F7ADF">
      <w:r>
        <w:separator/>
      </w:r>
    </w:p>
  </w:footnote>
  <w:footnote w:type="continuationSeparator" w:id="0">
    <w:p w14:paraId="179C2680" w14:textId="77777777" w:rsidR="00687F5D" w:rsidRDefault="00687F5D" w:rsidP="009F7AD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AB2E31" w14:textId="77777777" w:rsidR="009F7ADF" w:rsidRDefault="009F7AD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C81422" w14:textId="77777777" w:rsidR="009F7ADF" w:rsidRDefault="009F7ADF">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A2D168" w14:textId="77777777" w:rsidR="009F7ADF" w:rsidRDefault="009F7AD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72A4"/>
    <w:rsid w:val="00002F05"/>
    <w:rsid w:val="00051B7E"/>
    <w:rsid w:val="000A15B8"/>
    <w:rsid w:val="000B42BC"/>
    <w:rsid w:val="000B7AA5"/>
    <w:rsid w:val="00100D15"/>
    <w:rsid w:val="00171B8B"/>
    <w:rsid w:val="0017619E"/>
    <w:rsid w:val="00186C77"/>
    <w:rsid w:val="00187645"/>
    <w:rsid w:val="001C008F"/>
    <w:rsid w:val="001D38EA"/>
    <w:rsid w:val="002E3E37"/>
    <w:rsid w:val="00312523"/>
    <w:rsid w:val="0031750D"/>
    <w:rsid w:val="00370BE9"/>
    <w:rsid w:val="00391174"/>
    <w:rsid w:val="00427C56"/>
    <w:rsid w:val="00437F3A"/>
    <w:rsid w:val="004522F6"/>
    <w:rsid w:val="00471BE0"/>
    <w:rsid w:val="004F1491"/>
    <w:rsid w:val="004F41C6"/>
    <w:rsid w:val="005F7F0B"/>
    <w:rsid w:val="006157B1"/>
    <w:rsid w:val="006340FB"/>
    <w:rsid w:val="006600BC"/>
    <w:rsid w:val="00667790"/>
    <w:rsid w:val="00686AE6"/>
    <w:rsid w:val="00687F5D"/>
    <w:rsid w:val="006E0643"/>
    <w:rsid w:val="007914E9"/>
    <w:rsid w:val="007C1052"/>
    <w:rsid w:val="007C33B0"/>
    <w:rsid w:val="007C5302"/>
    <w:rsid w:val="0089799B"/>
    <w:rsid w:val="00926FB8"/>
    <w:rsid w:val="00937011"/>
    <w:rsid w:val="009934AF"/>
    <w:rsid w:val="009A2BD3"/>
    <w:rsid w:val="009B7700"/>
    <w:rsid w:val="009F042A"/>
    <w:rsid w:val="009F7ADF"/>
    <w:rsid w:val="00A22457"/>
    <w:rsid w:val="00A3238A"/>
    <w:rsid w:val="00AE06BE"/>
    <w:rsid w:val="00AE69B6"/>
    <w:rsid w:val="00AF0C68"/>
    <w:rsid w:val="00B272A4"/>
    <w:rsid w:val="00B8719A"/>
    <w:rsid w:val="00B90BCC"/>
    <w:rsid w:val="00BD45DC"/>
    <w:rsid w:val="00BE1D0B"/>
    <w:rsid w:val="00C11E1C"/>
    <w:rsid w:val="00C92850"/>
    <w:rsid w:val="00CA2380"/>
    <w:rsid w:val="00D256AA"/>
    <w:rsid w:val="00DC22AA"/>
    <w:rsid w:val="00DC6430"/>
    <w:rsid w:val="00DD6254"/>
    <w:rsid w:val="00E04361"/>
    <w:rsid w:val="00E07069"/>
    <w:rsid w:val="00E07837"/>
    <w:rsid w:val="00E809E9"/>
    <w:rsid w:val="00E86B48"/>
    <w:rsid w:val="00E96673"/>
    <w:rsid w:val="00EA5521"/>
    <w:rsid w:val="00F146CD"/>
    <w:rsid w:val="00F75D47"/>
    <w:rsid w:val="00F81F79"/>
    <w:rsid w:val="00FA4C98"/>
    <w:rsid w:val="00FB515D"/>
    <w:rsid w:val="00FF24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FA5ED00"/>
  <w15:chartTrackingRefBased/>
  <w15:docId w15:val="{34DDA593-3A9F-4A6C-A469-58B927282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B272A4"/>
    <w:rPr>
      <w:color w:val="0000FF"/>
      <w:u w:val="single"/>
    </w:rPr>
  </w:style>
  <w:style w:type="character" w:customStyle="1" w:styleId="UnresolvedMention">
    <w:name w:val="Unresolved Mention"/>
    <w:basedOn w:val="DefaultParagraphFont"/>
    <w:uiPriority w:val="99"/>
    <w:semiHidden/>
    <w:unhideWhenUsed/>
    <w:rsid w:val="000A15B8"/>
    <w:rPr>
      <w:color w:val="808080"/>
      <w:shd w:val="clear" w:color="auto" w:fill="E6E6E6"/>
    </w:rPr>
  </w:style>
  <w:style w:type="character" w:styleId="FollowedHyperlink">
    <w:name w:val="FollowedHyperlink"/>
    <w:basedOn w:val="DefaultParagraphFont"/>
    <w:uiPriority w:val="99"/>
    <w:semiHidden/>
    <w:unhideWhenUsed/>
    <w:rsid w:val="000A15B8"/>
    <w:rPr>
      <w:color w:val="954F72" w:themeColor="followedHyperlink"/>
      <w:u w:val="single"/>
    </w:rPr>
  </w:style>
  <w:style w:type="character" w:styleId="Strong">
    <w:name w:val="Strong"/>
    <w:basedOn w:val="DefaultParagraphFont"/>
    <w:uiPriority w:val="22"/>
    <w:qFormat/>
    <w:rsid w:val="00B8719A"/>
    <w:rPr>
      <w:b/>
      <w:bCs/>
    </w:rPr>
  </w:style>
  <w:style w:type="paragraph" w:styleId="Header">
    <w:name w:val="header"/>
    <w:basedOn w:val="Normal"/>
    <w:link w:val="HeaderChar"/>
    <w:uiPriority w:val="99"/>
    <w:unhideWhenUsed/>
    <w:rsid w:val="009F7ADF"/>
    <w:pPr>
      <w:tabs>
        <w:tab w:val="center" w:pos="4513"/>
        <w:tab w:val="right" w:pos="9026"/>
      </w:tabs>
    </w:pPr>
  </w:style>
  <w:style w:type="character" w:customStyle="1" w:styleId="HeaderChar">
    <w:name w:val="Header Char"/>
    <w:basedOn w:val="DefaultParagraphFont"/>
    <w:link w:val="Header"/>
    <w:uiPriority w:val="99"/>
    <w:rsid w:val="009F7ADF"/>
  </w:style>
  <w:style w:type="paragraph" w:styleId="Footer">
    <w:name w:val="footer"/>
    <w:basedOn w:val="Normal"/>
    <w:link w:val="FooterChar"/>
    <w:uiPriority w:val="99"/>
    <w:unhideWhenUsed/>
    <w:rsid w:val="009F7ADF"/>
    <w:pPr>
      <w:tabs>
        <w:tab w:val="center" w:pos="4513"/>
        <w:tab w:val="right" w:pos="9026"/>
      </w:tabs>
    </w:pPr>
  </w:style>
  <w:style w:type="character" w:customStyle="1" w:styleId="FooterChar">
    <w:name w:val="Footer Char"/>
    <w:basedOn w:val="DefaultParagraphFont"/>
    <w:link w:val="Footer"/>
    <w:uiPriority w:val="99"/>
    <w:rsid w:val="009F7A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hyperlink" Target="http://warwick.ac.uk/my-parish/parishsymposia/2018migration/" TargetMode="External"/><Relationship Id="rId12" Type="http://schemas.openxmlformats.org/officeDocument/2006/relationships/header" Target="head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footer" Target="footer2.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B13E9D3F</Template>
  <TotalTime>2</TotalTime>
  <Pages>1</Pages>
  <Words>493</Words>
  <Characters>3018</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dc:creator>
  <cp:keywords/>
  <cp:lastModifiedBy>Rae, Sue</cp:lastModifiedBy>
  <cp:revision>3</cp:revision>
  <dcterms:created xsi:type="dcterms:W3CDTF">2018-06-07T07:21:00Z</dcterms:created>
  <dcterms:modified xsi:type="dcterms:W3CDTF">2018-06-07T07:22:00Z</dcterms:modified>
</cp:coreProperties>
</file>