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1026" w:rsidRDefault="009E2720">
      <w:pPr>
        <w:rPr>
          <w:rFonts w:asciiTheme="minorHAnsi" w:hAnsiTheme="minorHAnsi"/>
          <w:sz w:val="20"/>
          <w:szCs w:val="20"/>
        </w:rPr>
      </w:pPr>
      <w:r w:rsidRPr="004F1026">
        <w:rPr>
          <w:rFonts w:asciiTheme="minorHAnsi" w:hAnsiTheme="minorHAnsi"/>
          <w:bCs/>
          <w:sz w:val="20"/>
          <w:szCs w:val="20"/>
        </w:rPr>
        <w:t>“</w:t>
      </w:r>
      <w:r w:rsidRPr="004F1026">
        <w:rPr>
          <w:rFonts w:asciiTheme="minorHAnsi" w:hAnsiTheme="minorHAnsi"/>
          <w:bCs/>
          <w:sz w:val="20"/>
          <w:szCs w:val="20"/>
        </w:rPr>
        <w:t xml:space="preserve">A Quest for Remembrance”: The Descent into the Classical Underworld </w:t>
      </w:r>
      <w:r w:rsidRPr="004F1026">
        <w:rPr>
          <w:rFonts w:asciiTheme="minorHAnsi" w:hAnsiTheme="minorHAnsi"/>
          <w:bCs/>
          <w:sz w:val="20"/>
          <w:szCs w:val="20"/>
        </w:rPr>
        <w:br/>
      </w:r>
      <w:r w:rsidR="004F1026">
        <w:rPr>
          <w:rFonts w:asciiTheme="minorHAnsi" w:hAnsiTheme="minorHAnsi"/>
          <w:sz w:val="20"/>
          <w:szCs w:val="20"/>
        </w:rPr>
        <w:t>Saturday 20</w:t>
      </w:r>
      <w:r w:rsidR="004F1026" w:rsidRPr="004F1026">
        <w:rPr>
          <w:rFonts w:asciiTheme="minorHAnsi" w:hAnsiTheme="minorHAnsi"/>
          <w:sz w:val="20"/>
          <w:szCs w:val="20"/>
          <w:vertAlign w:val="superscript"/>
        </w:rPr>
        <w:t>th</w:t>
      </w:r>
      <w:r w:rsidR="004F1026">
        <w:rPr>
          <w:rFonts w:asciiTheme="minorHAnsi" w:hAnsiTheme="minorHAnsi"/>
          <w:sz w:val="20"/>
          <w:szCs w:val="20"/>
        </w:rPr>
        <w:t xml:space="preserve"> May 2017</w:t>
      </w:r>
      <w:bookmarkStart w:id="0" w:name="_GoBack"/>
      <w:bookmarkEnd w:id="0"/>
    </w:p>
    <w:p w:rsidR="001B536E" w:rsidRDefault="009E2720">
      <w:pPr>
        <w:rPr>
          <w:rFonts w:asciiTheme="minorHAnsi" w:hAnsiTheme="minorHAnsi"/>
          <w:sz w:val="20"/>
          <w:szCs w:val="20"/>
        </w:rPr>
      </w:pPr>
      <w:r w:rsidRPr="001B536E">
        <w:rPr>
          <w:rFonts w:asciiTheme="minorHAnsi" w:hAnsiTheme="minorHAnsi"/>
          <w:sz w:val="20"/>
          <w:szCs w:val="20"/>
        </w:rPr>
        <w:br/>
      </w:r>
      <w:proofErr w:type="spellStart"/>
      <w:proofErr w:type="gramStart"/>
      <w:r w:rsidRPr="001B536E">
        <w:rPr>
          <w:rFonts w:asciiTheme="minorHAnsi" w:eastAsia="TimesNewRomanPSMT" w:hAnsiTheme="minorHAnsi" w:cs="TimesNewRomanPSMT"/>
          <w:color w:val="000000"/>
          <w:kern w:val="0"/>
          <w:sz w:val="20"/>
          <w:szCs w:val="20"/>
        </w:rPr>
        <w:t>μνήσ</w:t>
      </w:r>
      <w:proofErr w:type="spellEnd"/>
      <w:r w:rsidRPr="001B536E">
        <w:rPr>
          <w:rFonts w:asciiTheme="minorHAnsi" w:eastAsia="TimesNewRomanPSMT" w:hAnsiTheme="minorHAnsi" w:cs="TimesNewRomanPSMT"/>
          <w:color w:val="000000"/>
          <w:kern w:val="0"/>
          <w:sz w:val="20"/>
          <w:szCs w:val="20"/>
        </w:rPr>
        <w:t>ασθαι</w:t>
      </w:r>
      <w:proofErr w:type="gramEnd"/>
      <w:r w:rsidRPr="001B536E">
        <w:rPr>
          <w:rFonts w:asciiTheme="minorHAnsi" w:eastAsia="TimesNewRomanPSMT" w:hAnsiTheme="minorHAnsi" w:cs="TimesNewRomanPSMT"/>
          <w:color w:val="000000"/>
          <w:kern w:val="0"/>
          <w:sz w:val="20"/>
          <w:szCs w:val="20"/>
        </w:rPr>
        <w:t xml:space="preserve"> </w:t>
      </w:r>
      <w:proofErr w:type="spellStart"/>
      <w:r w:rsidRPr="001B536E">
        <w:rPr>
          <w:rFonts w:asciiTheme="minorHAnsi" w:eastAsia="TimesNewRomanPSMT" w:hAnsiTheme="minorHAnsi" w:cs="TimesNewRomanPSMT"/>
          <w:color w:val="000000"/>
          <w:kern w:val="0"/>
          <w:sz w:val="20"/>
          <w:szCs w:val="20"/>
        </w:rPr>
        <w:t>ἐ</w:t>
      </w:r>
      <w:r w:rsidRPr="001B536E">
        <w:rPr>
          <w:rFonts w:asciiTheme="minorHAnsi" w:eastAsia="TimesNewRomanPSMT" w:hAnsiTheme="minorHAnsi" w:cs="TimesNewRomanPSMT"/>
          <w:color w:val="000000"/>
          <w:kern w:val="0"/>
          <w:sz w:val="20"/>
          <w:szCs w:val="20"/>
        </w:rPr>
        <w:t>με</w:t>
      </w:r>
      <w:r w:rsidRPr="001B536E">
        <w:rPr>
          <w:rFonts w:asciiTheme="minorHAnsi" w:eastAsia="TimesNewRomanPSMT" w:hAnsiTheme="minorHAnsi" w:cs="TimesNewRomanPSMT"/>
          <w:color w:val="000000"/>
          <w:kern w:val="0"/>
          <w:sz w:val="20"/>
          <w:szCs w:val="20"/>
        </w:rPr>
        <w:t>ῖ</w:t>
      </w:r>
      <w:r w:rsidRPr="001B536E">
        <w:rPr>
          <w:rFonts w:asciiTheme="minorHAnsi" w:eastAsia="TimesNewRomanPSMT" w:hAnsiTheme="minorHAnsi" w:cs="TimesNewRomanPSMT"/>
          <w:color w:val="000000"/>
          <w:kern w:val="0"/>
          <w:sz w:val="20"/>
          <w:szCs w:val="20"/>
        </w:rPr>
        <w:t>ο</w:t>
      </w:r>
      <w:proofErr w:type="spellEnd"/>
      <w:r w:rsidRPr="001B536E">
        <w:rPr>
          <w:rFonts w:asciiTheme="minorHAnsi" w:eastAsia="TimesNewRomanPSMT" w:hAnsiTheme="minorHAnsi" w:cs="TimesNewRomanPSMT"/>
          <w:color w:val="000000"/>
          <w:kern w:val="0"/>
          <w:sz w:val="20"/>
          <w:szCs w:val="20"/>
        </w:rPr>
        <w:t xml:space="preserve">, “remember me”, the sailor </w:t>
      </w:r>
      <w:proofErr w:type="spellStart"/>
      <w:r w:rsidRPr="001B536E">
        <w:rPr>
          <w:rFonts w:asciiTheme="minorHAnsi" w:eastAsia="TimesNewRomanPSMT" w:hAnsiTheme="minorHAnsi" w:cs="TimesNewRomanPSMT"/>
          <w:color w:val="000000"/>
          <w:kern w:val="0"/>
          <w:sz w:val="20"/>
          <w:szCs w:val="20"/>
        </w:rPr>
        <w:t>Elpenor</w:t>
      </w:r>
      <w:proofErr w:type="spellEnd"/>
      <w:r w:rsidRPr="001B536E">
        <w:rPr>
          <w:rFonts w:asciiTheme="minorHAnsi" w:eastAsia="TimesNewRomanPSMT" w:hAnsiTheme="minorHAnsi" w:cs="TimesNewRomanPSMT"/>
          <w:color w:val="000000"/>
          <w:kern w:val="0"/>
          <w:sz w:val="20"/>
          <w:szCs w:val="20"/>
        </w:rPr>
        <w:t xml:space="preserve"> bids Odysseus as his spirit encounters his former captain in the Underworld. The spectre wishes for a mnemonic continuation of his ex</w:t>
      </w:r>
      <w:r w:rsidRPr="001B536E">
        <w:rPr>
          <w:rFonts w:asciiTheme="minorHAnsi" w:eastAsia="TimesNewRomanPSMT" w:hAnsiTheme="minorHAnsi" w:cs="TimesNewRomanPSMT"/>
          <w:color w:val="000000"/>
          <w:kern w:val="0"/>
          <w:sz w:val="20"/>
          <w:szCs w:val="20"/>
        </w:rPr>
        <w:t xml:space="preserve">istence, and his plea leaves the poem's audience shaken by the frailty of </w:t>
      </w:r>
      <w:proofErr w:type="spellStart"/>
      <w:r w:rsidRPr="001B536E">
        <w:rPr>
          <w:rFonts w:asciiTheme="minorHAnsi" w:eastAsia="TimesNewRomanPSMT" w:hAnsiTheme="minorHAnsi" w:cs="TimesNewRomanPSMT"/>
          <w:color w:val="000000"/>
          <w:kern w:val="0"/>
          <w:sz w:val="20"/>
          <w:szCs w:val="20"/>
        </w:rPr>
        <w:t>Elpenor's</w:t>
      </w:r>
      <w:proofErr w:type="spellEnd"/>
      <w:r w:rsidRPr="001B536E">
        <w:rPr>
          <w:rFonts w:asciiTheme="minorHAnsi" w:eastAsia="TimesNewRomanPSMT" w:hAnsiTheme="minorHAnsi" w:cs="TimesNewRomanPSMT"/>
          <w:color w:val="000000"/>
          <w:kern w:val="0"/>
          <w:sz w:val="20"/>
          <w:szCs w:val="20"/>
        </w:rPr>
        <w:t xml:space="preserve"> spirit and his desperation to retain a sense of self through the continuation of his story. Rachel Falconer, a pivotal scholar on</w:t>
      </w:r>
      <w:r w:rsidRPr="001B536E">
        <w:rPr>
          <w:rFonts w:asciiTheme="minorHAnsi" w:eastAsia="Helvetica" w:hAnsiTheme="minorHAnsi" w:cs="Helvetica"/>
          <w:color w:val="000000"/>
          <w:kern w:val="0"/>
          <w:sz w:val="20"/>
          <w:szCs w:val="20"/>
        </w:rPr>
        <w:t xml:space="preserve"> </w:t>
      </w:r>
      <w:proofErr w:type="spellStart"/>
      <w:r w:rsidRPr="001B536E">
        <w:rPr>
          <w:rFonts w:asciiTheme="minorHAnsi" w:eastAsia="Helvetica" w:hAnsiTheme="minorHAnsi" w:cs="Helvetica"/>
          <w:i/>
          <w:iCs/>
          <w:color w:val="000000"/>
          <w:kern w:val="0"/>
          <w:sz w:val="20"/>
          <w:szCs w:val="20"/>
        </w:rPr>
        <w:t>katabasis</w:t>
      </w:r>
      <w:proofErr w:type="spellEnd"/>
      <w:r w:rsidRPr="001B536E">
        <w:rPr>
          <w:rFonts w:asciiTheme="minorHAnsi" w:eastAsia="Helvetica" w:hAnsiTheme="minorHAnsi" w:cs="Helvetica"/>
          <w:color w:val="000000"/>
          <w:kern w:val="0"/>
          <w:sz w:val="20"/>
          <w:szCs w:val="20"/>
        </w:rPr>
        <w:t xml:space="preserve"> narratives, the narratives about</w:t>
      </w:r>
      <w:r w:rsidRPr="001B536E">
        <w:rPr>
          <w:rFonts w:asciiTheme="minorHAnsi" w:eastAsia="Helvetica" w:hAnsiTheme="minorHAnsi" w:cs="Helvetica"/>
          <w:color w:val="000000"/>
          <w:kern w:val="0"/>
          <w:sz w:val="20"/>
          <w:szCs w:val="20"/>
        </w:rPr>
        <w:t xml:space="preserve"> the descent into the Underworld, suggests that they are an inherently “mnemonic” genre, one that is preoccupied with loss as well as gain, forgetfulness as well as remembering. At the same time, she sees the genre of </w:t>
      </w:r>
      <w:proofErr w:type="spellStart"/>
      <w:r w:rsidRPr="001B536E">
        <w:rPr>
          <w:rFonts w:asciiTheme="minorHAnsi" w:eastAsia="Helvetica" w:hAnsiTheme="minorHAnsi" w:cs="Helvetica"/>
          <w:i/>
          <w:iCs/>
          <w:color w:val="000000"/>
          <w:kern w:val="0"/>
          <w:sz w:val="20"/>
          <w:szCs w:val="20"/>
        </w:rPr>
        <w:t>katabasis</w:t>
      </w:r>
      <w:proofErr w:type="spellEnd"/>
      <w:r w:rsidRPr="001B536E">
        <w:rPr>
          <w:rFonts w:asciiTheme="minorHAnsi" w:eastAsia="Helvetica" w:hAnsiTheme="minorHAnsi" w:cs="Helvetica"/>
          <w:color w:val="000000"/>
          <w:kern w:val="0"/>
          <w:sz w:val="20"/>
          <w:szCs w:val="20"/>
        </w:rPr>
        <w:t xml:space="preserve"> as resonant throughout the W</w:t>
      </w:r>
      <w:r w:rsidRPr="001B536E">
        <w:rPr>
          <w:rFonts w:asciiTheme="minorHAnsi" w:eastAsia="Helvetica" w:hAnsiTheme="minorHAnsi" w:cs="Helvetica"/>
          <w:color w:val="000000"/>
          <w:kern w:val="0"/>
          <w:sz w:val="20"/>
          <w:szCs w:val="20"/>
        </w:rPr>
        <w:t xml:space="preserve">estern imagination, a claim which echoes that of Edith Hall in </w:t>
      </w:r>
      <w:r w:rsidRPr="001B536E">
        <w:rPr>
          <w:rFonts w:asciiTheme="minorHAnsi" w:eastAsia="Helvetica" w:hAnsiTheme="minorHAnsi" w:cs="Helvetica"/>
          <w:i/>
          <w:iCs/>
          <w:color w:val="000000"/>
          <w:kern w:val="0"/>
          <w:sz w:val="20"/>
          <w:szCs w:val="20"/>
        </w:rPr>
        <w:t>The Return of Ulysses</w:t>
      </w:r>
      <w:r w:rsidRPr="001B536E">
        <w:rPr>
          <w:rFonts w:asciiTheme="minorHAnsi" w:eastAsia="Helvetica" w:hAnsiTheme="minorHAnsi" w:cs="Helvetica"/>
          <w:color w:val="000000"/>
          <w:kern w:val="0"/>
          <w:sz w:val="20"/>
          <w:szCs w:val="20"/>
        </w:rPr>
        <w:t xml:space="preserve">, who that the </w:t>
      </w:r>
      <w:r w:rsidRPr="001B536E">
        <w:rPr>
          <w:rFonts w:asciiTheme="minorHAnsi" w:eastAsia="Helvetica" w:hAnsiTheme="minorHAnsi" w:cs="Helvetica"/>
          <w:i/>
          <w:iCs/>
          <w:color w:val="000000"/>
          <w:kern w:val="0"/>
          <w:sz w:val="20"/>
          <w:szCs w:val="20"/>
        </w:rPr>
        <w:t>katabatic</w:t>
      </w:r>
      <w:r w:rsidRPr="001B536E">
        <w:rPr>
          <w:rFonts w:asciiTheme="minorHAnsi" w:eastAsia="Helvetica" w:hAnsiTheme="minorHAnsi" w:cs="Helvetica"/>
          <w:color w:val="000000"/>
          <w:kern w:val="0"/>
          <w:sz w:val="20"/>
          <w:szCs w:val="20"/>
        </w:rPr>
        <w:t xml:space="preserve"> hero is ubiquitous, especially in modernity, an age that “</w:t>
      </w:r>
      <w:r w:rsidRPr="001B536E">
        <w:rPr>
          <w:rFonts w:asciiTheme="minorHAnsi" w:eastAsia="TimesNewRomanPSMT" w:hAnsiTheme="minorHAnsi" w:cs="TimesNewRomanPSMT"/>
          <w:color w:val="000000"/>
          <w:kern w:val="0"/>
          <w:sz w:val="20"/>
          <w:szCs w:val="20"/>
        </w:rPr>
        <w:t>has defined itself as post-everything: postmodern, post-</w:t>
      </w:r>
      <w:proofErr w:type="spellStart"/>
      <w:r w:rsidRPr="001B536E">
        <w:rPr>
          <w:rFonts w:asciiTheme="minorHAnsi" w:eastAsia="TimesNewRomanPSMT" w:hAnsiTheme="minorHAnsi" w:cs="TimesNewRomanPSMT"/>
          <w:color w:val="000000"/>
          <w:kern w:val="0"/>
          <w:sz w:val="20"/>
          <w:szCs w:val="20"/>
        </w:rPr>
        <w:t>structuralist</w:t>
      </w:r>
      <w:proofErr w:type="spellEnd"/>
      <w:r w:rsidRPr="001B536E">
        <w:rPr>
          <w:rFonts w:asciiTheme="minorHAnsi" w:eastAsia="TimesNewRomanPSMT" w:hAnsiTheme="minorHAnsi" w:cs="TimesNewRomanPSMT"/>
          <w:color w:val="000000"/>
          <w:kern w:val="0"/>
          <w:sz w:val="20"/>
          <w:szCs w:val="20"/>
        </w:rPr>
        <w:t>, post-colonial.”</w:t>
      </w:r>
      <w:r w:rsidRPr="001B536E">
        <w:rPr>
          <w:rFonts w:asciiTheme="minorHAnsi" w:eastAsia="Helvetica" w:hAnsiTheme="minorHAnsi" w:cs="Helvetica"/>
          <w:color w:val="000000"/>
          <w:kern w:val="0"/>
          <w:sz w:val="20"/>
          <w:szCs w:val="20"/>
        </w:rPr>
        <w:t xml:space="preserve"> </w:t>
      </w:r>
      <w:r w:rsidRPr="001B536E">
        <w:rPr>
          <w:rFonts w:asciiTheme="minorHAnsi" w:hAnsiTheme="minorHAnsi"/>
          <w:sz w:val="20"/>
          <w:szCs w:val="20"/>
        </w:rPr>
        <w:br/>
      </w:r>
      <w:r w:rsidRPr="001B536E">
        <w:rPr>
          <w:rFonts w:asciiTheme="minorHAnsi" w:hAnsiTheme="minorHAnsi"/>
          <w:sz w:val="20"/>
          <w:szCs w:val="20"/>
        </w:rPr>
        <w:br/>
      </w:r>
      <w:r w:rsidRPr="001B536E">
        <w:rPr>
          <w:rFonts w:asciiTheme="minorHAnsi" w:hAnsiTheme="minorHAnsi"/>
          <w:sz w:val="20"/>
          <w:szCs w:val="20"/>
        </w:rPr>
        <w:t xml:space="preserve">“A Quest for Remembrance” has located itself right at the heart of such approaches, trying to uncover the multiple connections between </w:t>
      </w:r>
      <w:proofErr w:type="spellStart"/>
      <w:r w:rsidRPr="001B536E">
        <w:rPr>
          <w:rFonts w:asciiTheme="minorHAnsi" w:hAnsiTheme="minorHAnsi"/>
          <w:i/>
          <w:iCs/>
          <w:sz w:val="20"/>
          <w:szCs w:val="20"/>
        </w:rPr>
        <w:t>katabasis</w:t>
      </w:r>
      <w:proofErr w:type="spellEnd"/>
      <w:r w:rsidRPr="001B536E">
        <w:rPr>
          <w:rFonts w:asciiTheme="minorHAnsi" w:hAnsiTheme="minorHAnsi"/>
          <w:sz w:val="20"/>
          <w:szCs w:val="20"/>
        </w:rPr>
        <w:t xml:space="preserve"> and memory. Guided into and out of our own </w:t>
      </w:r>
      <w:proofErr w:type="spellStart"/>
      <w:r w:rsidRPr="001B536E">
        <w:rPr>
          <w:rFonts w:asciiTheme="minorHAnsi" w:hAnsiTheme="minorHAnsi"/>
          <w:i/>
          <w:iCs/>
          <w:sz w:val="20"/>
          <w:szCs w:val="20"/>
        </w:rPr>
        <w:t>katabasis</w:t>
      </w:r>
      <w:proofErr w:type="spellEnd"/>
      <w:r w:rsidRPr="001B536E">
        <w:rPr>
          <w:rFonts w:asciiTheme="minorHAnsi" w:hAnsiTheme="minorHAnsi"/>
          <w:sz w:val="20"/>
          <w:szCs w:val="20"/>
        </w:rPr>
        <w:t xml:space="preserve"> into the depths of the subject through a poetry reading fr</w:t>
      </w:r>
      <w:r w:rsidRPr="001B536E">
        <w:rPr>
          <w:rFonts w:asciiTheme="minorHAnsi" w:hAnsiTheme="minorHAnsi"/>
          <w:sz w:val="20"/>
          <w:szCs w:val="20"/>
        </w:rPr>
        <w:t xml:space="preserve">om Michael </w:t>
      </w:r>
      <w:proofErr w:type="spellStart"/>
      <w:r w:rsidRPr="001B536E">
        <w:rPr>
          <w:rFonts w:asciiTheme="minorHAnsi" w:hAnsiTheme="minorHAnsi"/>
          <w:sz w:val="20"/>
          <w:szCs w:val="20"/>
        </w:rPr>
        <w:t>Hulse's</w:t>
      </w:r>
      <w:proofErr w:type="spellEnd"/>
      <w:r w:rsidRPr="001B536E">
        <w:rPr>
          <w:rFonts w:asciiTheme="minorHAnsi" w:hAnsiTheme="minorHAnsi"/>
          <w:sz w:val="20"/>
          <w:szCs w:val="20"/>
        </w:rPr>
        <w:t xml:space="preserve"> “Mother of Battles”, questions about the conceptual nature of the </w:t>
      </w:r>
      <w:r w:rsidRPr="001B536E">
        <w:rPr>
          <w:rFonts w:asciiTheme="minorHAnsi" w:hAnsiTheme="minorHAnsi"/>
          <w:i/>
          <w:iCs/>
          <w:sz w:val="20"/>
          <w:szCs w:val="20"/>
        </w:rPr>
        <w:t>katabatic</w:t>
      </w:r>
      <w:r w:rsidRPr="001B536E">
        <w:rPr>
          <w:rFonts w:asciiTheme="minorHAnsi" w:hAnsiTheme="minorHAnsi"/>
          <w:sz w:val="20"/>
          <w:szCs w:val="20"/>
        </w:rPr>
        <w:t xml:space="preserve"> genre were ubiquitous: i</w:t>
      </w:r>
      <w:r w:rsidRPr="001B536E">
        <w:rPr>
          <w:rFonts w:asciiTheme="minorHAnsi" w:eastAsia="TimesNewRomanPSMT" w:hAnsiTheme="minorHAnsi" w:cs="TimesNewRomanPSMT"/>
          <w:color w:val="000000"/>
          <w:kern w:val="0"/>
          <w:sz w:val="20"/>
          <w:szCs w:val="20"/>
        </w:rPr>
        <w:t>s the Underworld itself a setting which encourages memorialisation, or is it the inevitability of forgetfulness that often prevails, as d</w:t>
      </w:r>
      <w:r w:rsidRPr="001B536E">
        <w:rPr>
          <w:rFonts w:asciiTheme="minorHAnsi" w:eastAsia="TimesNewRomanPSMT" w:hAnsiTheme="minorHAnsi" w:cs="TimesNewRomanPSMT"/>
          <w:color w:val="000000"/>
          <w:kern w:val="0"/>
          <w:sz w:val="20"/>
          <w:szCs w:val="20"/>
        </w:rPr>
        <w:t xml:space="preserve">rinking from the river Lethe takes away the memories of all but the most famous of spirits? </w:t>
      </w:r>
      <w:r w:rsidRPr="001B536E">
        <w:rPr>
          <w:rFonts w:asciiTheme="minorHAnsi" w:hAnsiTheme="minorHAnsi"/>
          <w:sz w:val="20"/>
          <w:szCs w:val="20"/>
        </w:rPr>
        <w:t>How, then, do</w:t>
      </w:r>
      <w:r w:rsidRPr="001B536E">
        <w:rPr>
          <w:rFonts w:asciiTheme="minorHAnsi" w:eastAsia="TimesNewRomanPSMT" w:hAnsiTheme="minorHAnsi" w:cs="TimesNewRomanPSMT"/>
          <w:color w:val="000000"/>
          <w:kern w:val="0"/>
          <w:sz w:val="20"/>
          <w:szCs w:val="20"/>
        </w:rPr>
        <w:t xml:space="preserve"> adaptations of </w:t>
      </w:r>
      <w:proofErr w:type="spellStart"/>
      <w:r w:rsidRPr="001B536E">
        <w:rPr>
          <w:rFonts w:asciiTheme="minorHAnsi" w:eastAsia="TimesNewRomanPSMT" w:hAnsiTheme="minorHAnsi" w:cs="TimesNewRomanPSMT"/>
          <w:i/>
          <w:iCs/>
          <w:color w:val="000000"/>
          <w:kern w:val="0"/>
          <w:sz w:val="20"/>
          <w:szCs w:val="20"/>
        </w:rPr>
        <w:t>katabasis</w:t>
      </w:r>
      <w:proofErr w:type="spellEnd"/>
      <w:r w:rsidRPr="001B536E">
        <w:rPr>
          <w:rFonts w:asciiTheme="minorHAnsi" w:eastAsia="TimesNewRomanPSMT" w:hAnsiTheme="minorHAnsi" w:cs="TimesNewRomanPSMT"/>
          <w:color w:val="000000"/>
          <w:kern w:val="0"/>
          <w:sz w:val="20"/>
          <w:szCs w:val="20"/>
        </w:rPr>
        <w:t xml:space="preserve"> narratives transfer the ancient connotations and themes of the journey to the heroes' quest in a modern era; will the spectre</w:t>
      </w:r>
      <w:r w:rsidRPr="001B536E">
        <w:rPr>
          <w:rFonts w:asciiTheme="minorHAnsi" w:eastAsia="TimesNewRomanPSMT" w:hAnsiTheme="minorHAnsi" w:cs="TimesNewRomanPSMT"/>
          <w:color w:val="000000"/>
          <w:kern w:val="0"/>
          <w:sz w:val="20"/>
          <w:szCs w:val="20"/>
        </w:rPr>
        <w:t xml:space="preserve">s of Hades re-assume their helpful role of providing wisdom, memory, and information in order to allow the hero's quest to continue, or will their appearance be inevitably shaped by a feelings of evasiveness, existential failure, and loss? These were some </w:t>
      </w:r>
      <w:r w:rsidRPr="001B536E">
        <w:rPr>
          <w:rFonts w:asciiTheme="minorHAnsi" w:eastAsia="TimesNewRomanPSMT" w:hAnsiTheme="minorHAnsi" w:cs="TimesNewRomanPSMT"/>
          <w:color w:val="000000"/>
          <w:kern w:val="0"/>
          <w:sz w:val="20"/>
          <w:szCs w:val="20"/>
        </w:rPr>
        <w:t>of the questions addressed by the speakers, analysing at the conception of the Underworld both in antiquity and adaptations in more modern times. Thereby, a number of different genres were considered, ranging from</w:t>
      </w:r>
      <w:r w:rsidRPr="001B536E">
        <w:rPr>
          <w:rFonts w:asciiTheme="minorHAnsi" w:hAnsiTheme="minorHAnsi"/>
          <w:sz w:val="20"/>
          <w:szCs w:val="20"/>
        </w:rPr>
        <w:t xml:space="preserve"> prose, poetry, ancient fragments, plays, f</w:t>
      </w:r>
      <w:r w:rsidRPr="001B536E">
        <w:rPr>
          <w:rFonts w:asciiTheme="minorHAnsi" w:hAnsiTheme="minorHAnsi"/>
          <w:sz w:val="20"/>
          <w:szCs w:val="20"/>
        </w:rPr>
        <w:t xml:space="preserve">ilms, even to video games, showcasing the interdisciplinary nature of the event – perhaps most notable was a delightful burlesque in Hades, shown by keynote speaker Edith Hall.  </w:t>
      </w:r>
      <w:r w:rsidRPr="001B536E">
        <w:rPr>
          <w:rFonts w:asciiTheme="minorHAnsi" w:hAnsiTheme="minorHAnsi"/>
          <w:sz w:val="20"/>
          <w:szCs w:val="20"/>
        </w:rPr>
        <w:br/>
      </w:r>
      <w:r w:rsidRPr="001B536E">
        <w:rPr>
          <w:rFonts w:asciiTheme="minorHAnsi" w:hAnsiTheme="minorHAnsi"/>
          <w:sz w:val="20"/>
          <w:szCs w:val="20"/>
        </w:rPr>
        <w:br/>
        <w:t>It was particularly this interdisciplinary nature of the conference which wa</w:t>
      </w:r>
      <w:r w:rsidRPr="001B536E">
        <w:rPr>
          <w:rFonts w:asciiTheme="minorHAnsi" w:hAnsiTheme="minorHAnsi"/>
          <w:sz w:val="20"/>
          <w:szCs w:val="20"/>
        </w:rPr>
        <w:t xml:space="preserve">s lauded by many of the conference speakers and attendants; featuring in equal measure classicists and literary scholars, delegates from as far as New Zealand and Minnesota, undergraduates as well as established professors, it was the accessibility of the </w:t>
      </w:r>
      <w:r w:rsidRPr="001B536E">
        <w:rPr>
          <w:rFonts w:asciiTheme="minorHAnsi" w:hAnsiTheme="minorHAnsi"/>
          <w:sz w:val="20"/>
          <w:szCs w:val="20"/>
        </w:rPr>
        <w:t xml:space="preserve">topic at the same time as the stimulating and conceptual depth of many of the presentations which stayed in people's minds as they said their goodbyes at the end of the day. Encouraged by the interest of many of the speakers, a possible publication in the </w:t>
      </w:r>
      <w:r w:rsidRPr="001B536E">
        <w:rPr>
          <w:rFonts w:asciiTheme="minorHAnsi" w:hAnsiTheme="minorHAnsi"/>
          <w:sz w:val="20"/>
          <w:szCs w:val="20"/>
        </w:rPr>
        <w:t xml:space="preserve">form of an edited monograph is currently in planning, in an attempt to solidify this connection between </w:t>
      </w:r>
      <w:proofErr w:type="spellStart"/>
      <w:r w:rsidRPr="001B536E">
        <w:rPr>
          <w:rFonts w:asciiTheme="minorHAnsi" w:hAnsiTheme="minorHAnsi"/>
          <w:i/>
          <w:iCs/>
          <w:sz w:val="20"/>
          <w:szCs w:val="20"/>
        </w:rPr>
        <w:t>katabasis</w:t>
      </w:r>
      <w:proofErr w:type="spellEnd"/>
      <w:r w:rsidRPr="001B536E">
        <w:rPr>
          <w:rFonts w:asciiTheme="minorHAnsi" w:hAnsiTheme="minorHAnsi"/>
          <w:sz w:val="20"/>
          <w:szCs w:val="20"/>
        </w:rPr>
        <w:t xml:space="preserve"> and memory studies through approaching the subject from a number of interdisciplinary perspectives.</w:t>
      </w:r>
    </w:p>
    <w:p w:rsidR="001B536E" w:rsidRDefault="001B536E">
      <w:pPr>
        <w:rPr>
          <w:rFonts w:asciiTheme="minorHAnsi" w:hAnsiTheme="minorHAnsi"/>
          <w:sz w:val="20"/>
          <w:szCs w:val="20"/>
        </w:rPr>
      </w:pPr>
    </w:p>
    <w:p w:rsidR="001B536E" w:rsidRDefault="001B536E" w:rsidP="001B536E">
      <w:pPr>
        <w:jc w:val="right"/>
        <w:rPr>
          <w:rFonts w:asciiTheme="minorHAnsi" w:hAnsiTheme="minorHAnsi"/>
          <w:sz w:val="20"/>
          <w:szCs w:val="20"/>
        </w:rPr>
      </w:pPr>
      <w:r>
        <w:rPr>
          <w:rFonts w:asciiTheme="minorHAnsi" w:hAnsiTheme="minorHAnsi"/>
          <w:sz w:val="20"/>
          <w:szCs w:val="20"/>
        </w:rPr>
        <w:t>Madeleine Scherer</w:t>
      </w:r>
    </w:p>
    <w:p w:rsidR="00000000" w:rsidRPr="001B536E" w:rsidRDefault="001B536E" w:rsidP="001B536E">
      <w:pPr>
        <w:jc w:val="right"/>
        <w:rPr>
          <w:rFonts w:asciiTheme="minorHAnsi" w:hAnsiTheme="minorHAnsi"/>
          <w:sz w:val="20"/>
          <w:szCs w:val="20"/>
        </w:rPr>
      </w:pPr>
      <w:r>
        <w:rPr>
          <w:rFonts w:asciiTheme="minorHAnsi" w:hAnsiTheme="minorHAnsi"/>
          <w:sz w:val="20"/>
          <w:szCs w:val="20"/>
        </w:rPr>
        <w:t>English and Comparative Literary Studies</w:t>
      </w:r>
      <w:r w:rsidR="009E2720" w:rsidRPr="001B536E">
        <w:rPr>
          <w:rFonts w:asciiTheme="minorHAnsi" w:hAnsiTheme="minorHAnsi"/>
          <w:sz w:val="20"/>
          <w:szCs w:val="20"/>
        </w:rPr>
        <w:t xml:space="preserve"> </w:t>
      </w:r>
    </w:p>
    <w:p w:rsidR="00000000" w:rsidRPr="001B536E" w:rsidRDefault="009E2720">
      <w:pPr>
        <w:rPr>
          <w:rFonts w:asciiTheme="minorHAnsi" w:hAnsiTheme="minorHAnsi"/>
          <w:sz w:val="20"/>
          <w:szCs w:val="20"/>
        </w:rPr>
      </w:pPr>
      <w:r w:rsidRPr="001B536E">
        <w:rPr>
          <w:rFonts w:asciiTheme="minorHAnsi" w:hAnsiTheme="minorHAnsi"/>
          <w:sz w:val="20"/>
          <w:szCs w:val="20"/>
        </w:rPr>
        <w:br/>
      </w:r>
    </w:p>
    <w:sectPr w:rsidR="00000000" w:rsidRPr="001B536E">
      <w:pgSz w:w="11906" w:h="16838"/>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PSMT">
    <w:altName w:val="MS PMincho"/>
    <w:charset w:val="80"/>
    <w:family w:val="roman"/>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sDel="0" w:formatting="0" w:inkAnnotation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36E"/>
    <w:rsid w:val="001B536E"/>
    <w:rsid w:val="004F1026"/>
    <w:rsid w:val="009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2DCCA4F3-9901-4F92-B91C-C5FE759B9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uppressAutoHyphens/>
    </w:pPr>
    <w:rPr>
      <w:rFonts w:eastAsia="Arial Unicode MS" w:cs="Arial Unicode M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pPr>
      <w:keepNext/>
      <w:spacing w:before="240" w:after="120"/>
    </w:pPr>
    <w:rPr>
      <w:rFonts w:ascii="Arial" w:hAnsi="Arial"/>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6AB05027</Template>
  <TotalTime>1</TotalTime>
  <Pages>1</Pages>
  <Words>503</Words>
  <Characters>2868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cp:lastModifiedBy>Dibben, Sue</cp:lastModifiedBy>
  <cp:revision>2</cp:revision>
  <cp:lastPrinted>1601-01-01T00:00:00Z</cp:lastPrinted>
  <dcterms:created xsi:type="dcterms:W3CDTF">2017-05-31T10:43:00Z</dcterms:created>
  <dcterms:modified xsi:type="dcterms:W3CDTF">2017-05-31T10:43:00Z</dcterms:modified>
</cp:coreProperties>
</file>