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8EE0E88" w14:textId="1D301E39" w:rsidR="00257FB4" w:rsidRPr="00257FB4" w:rsidRDefault="00053C45" w:rsidP="00053C45">
      <w:pPr>
        <w:pStyle w:val="p1"/>
        <w:spacing w:before="0" w:beforeAutospacing="0" w:after="0" w:afterAutospacing="0" w:line="360" w:lineRule="auto"/>
        <w:jc w:val="center"/>
      </w:pPr>
      <w:r w:rsidRPr="00257FB4">
        <w:rPr>
          <w:b/>
          <w:bCs/>
        </w:rPr>
        <w:t>(NEO)COLONIAL IMAGES AND LITERATURE: THE CONSTRUCTION OF THE OTHER</w:t>
      </w:r>
    </w:p>
    <w:p w14:paraId="7FB035AC" w14:textId="77777777" w:rsidR="00257FB4" w:rsidRPr="00257FB4" w:rsidRDefault="00257FB4" w:rsidP="00257FB4">
      <w:pPr>
        <w:pStyle w:val="p3"/>
        <w:spacing w:before="0" w:beforeAutospacing="0" w:after="0" w:afterAutospacing="0" w:line="360" w:lineRule="auto"/>
        <w:ind w:firstLine="709"/>
        <w:jc w:val="both"/>
      </w:pPr>
    </w:p>
    <w:p w14:paraId="1A7B1AF3" w14:textId="395E79AA" w:rsidR="00257FB4" w:rsidRPr="00257FB4" w:rsidRDefault="00257FB4" w:rsidP="00257FB4">
      <w:pPr>
        <w:pStyle w:val="p3"/>
        <w:spacing w:before="0" w:beforeAutospacing="0" w:after="0" w:afterAutospacing="0" w:line="360" w:lineRule="auto"/>
        <w:ind w:firstLine="709"/>
        <w:jc w:val="both"/>
      </w:pPr>
      <w:r w:rsidRPr="00257FB4">
        <w:t xml:space="preserve">The conference </w:t>
      </w:r>
      <w:r w:rsidRPr="00257FB4">
        <w:rPr>
          <w:rStyle w:val="s1"/>
          <w:b/>
          <w:bCs/>
        </w:rPr>
        <w:t>(Neo)Colonial Images and Literature: The Construction of the Other</w:t>
      </w:r>
      <w:r>
        <w:rPr>
          <w:rStyle w:val="s1"/>
          <w:b/>
          <w:bCs/>
        </w:rPr>
        <w:t xml:space="preserve"> </w:t>
      </w:r>
      <w:r w:rsidRPr="00257FB4">
        <w:t xml:space="preserve">was held on </w:t>
      </w:r>
      <w:r w:rsidRPr="003B7746">
        <w:rPr>
          <w:rStyle w:val="s1"/>
          <w:i/>
          <w:iCs/>
        </w:rPr>
        <w:t>Saturday 30 May 2026</w:t>
      </w:r>
      <w:r w:rsidRPr="00257FB4">
        <w:t xml:space="preserve"> at the </w:t>
      </w:r>
      <w:r w:rsidRPr="003B7746">
        <w:rPr>
          <w:rStyle w:val="s1"/>
          <w:i/>
          <w:iCs/>
        </w:rPr>
        <w:t>Wolfson Research Exchange, 3rd Floor Extension, Library, University of Warwick</w:t>
      </w:r>
      <w:r w:rsidRPr="00257FB4">
        <w:t xml:space="preserve">. Organised through the </w:t>
      </w:r>
      <w:r w:rsidRPr="003B7746">
        <w:rPr>
          <w:rStyle w:val="s1"/>
          <w:i/>
          <w:iCs/>
        </w:rPr>
        <w:t>Humanities Research Centre</w:t>
      </w:r>
      <w:r w:rsidRPr="003B7746">
        <w:t xml:space="preserve">, with the support of the </w:t>
      </w:r>
      <w:r w:rsidRPr="003B7746">
        <w:rPr>
          <w:rStyle w:val="s1"/>
          <w:i/>
          <w:iCs/>
        </w:rPr>
        <w:t>Department of Philosophy</w:t>
      </w:r>
      <w:r w:rsidRPr="003B7746">
        <w:t xml:space="preserve">, </w:t>
      </w:r>
      <w:r w:rsidRPr="00257FB4">
        <w:t xml:space="preserve">the event brought together scholars working across philosophy, literary studies, postcolonial theory, translation studies, visual culture, aesthetics, Indigenous studies, media studies, and the environmental humanities. The conference was organised by </w:t>
      </w:r>
      <w:r w:rsidRPr="003B7746">
        <w:rPr>
          <w:rStyle w:val="s1"/>
          <w:i/>
          <w:iCs/>
        </w:rPr>
        <w:t>Gustavo Ruiz da Silva</w:t>
      </w:r>
      <w:r w:rsidRPr="00257FB4">
        <w:t xml:space="preserve"> and </w:t>
      </w:r>
      <w:r w:rsidRPr="003B7746">
        <w:rPr>
          <w:rStyle w:val="s1"/>
          <w:i/>
          <w:iCs/>
        </w:rPr>
        <w:t>Xiaoyan Tan</w:t>
      </w:r>
      <w:r w:rsidRPr="00257FB4">
        <w:t xml:space="preserve">, and welcomed approximately </w:t>
      </w:r>
      <w:r w:rsidR="003B7746" w:rsidRPr="003B7746">
        <w:rPr>
          <w:rStyle w:val="s1"/>
        </w:rPr>
        <w:t>25</w:t>
      </w:r>
      <w:r w:rsidRPr="003B7746">
        <w:rPr>
          <w:rStyle w:val="s1"/>
        </w:rPr>
        <w:t xml:space="preserve"> delegates</w:t>
      </w:r>
      <w:r w:rsidRPr="00257FB4">
        <w:t>, including postgraduate researchers, early-career scholars, established academics, and members of the wider Warwick research community.</w:t>
      </w:r>
    </w:p>
    <w:p w14:paraId="5AEBFC7B" w14:textId="78C32879" w:rsidR="00257FB4" w:rsidRPr="00257FB4" w:rsidRDefault="00257FB4" w:rsidP="00257FB4">
      <w:pPr>
        <w:pStyle w:val="p3"/>
        <w:spacing w:before="0" w:beforeAutospacing="0" w:after="0" w:afterAutospacing="0" w:line="360" w:lineRule="auto"/>
        <w:ind w:firstLine="709"/>
        <w:jc w:val="both"/>
      </w:pPr>
      <w:r w:rsidRPr="00257FB4">
        <w:t xml:space="preserve">The central aim of the conference was to examine how images, literary texts, ethnographic representations, cinematic forms, travel writing, and public art have participated in the construction of colonial and neocolonial forms of otherness. Across the day, speakers addressed a wide chronological and geographical range, from early modern European representations of </w:t>
      </w:r>
      <w:r w:rsidR="005E3374">
        <w:rPr>
          <w:rFonts w:hint="eastAsia"/>
          <w:lang w:eastAsia="zh-CN"/>
        </w:rPr>
        <w:t xml:space="preserve">India, </w:t>
      </w:r>
      <w:r w:rsidR="005E3374" w:rsidRPr="00257FB4">
        <w:t>science fiction translation</w:t>
      </w:r>
      <w:r w:rsidR="005E3374">
        <w:rPr>
          <w:rFonts w:hint="eastAsia"/>
          <w:lang w:eastAsia="zh-CN"/>
        </w:rPr>
        <w:t xml:space="preserve"> in China and </w:t>
      </w:r>
      <w:r w:rsidR="005E3374" w:rsidRPr="00257FB4">
        <w:t>Indigenous diplomatic histories</w:t>
      </w:r>
      <w:r w:rsidR="005E3374">
        <w:rPr>
          <w:rFonts w:hint="eastAsia"/>
          <w:lang w:eastAsia="zh-CN"/>
        </w:rPr>
        <w:t xml:space="preserve"> in Canada </w:t>
      </w:r>
      <w:r w:rsidRPr="00257FB4">
        <w:t xml:space="preserve">to nineteenth-century travel writing, twentieth-century urban imagery, contemporary cinema, climate fiction, and public art in </w:t>
      </w:r>
      <w:r w:rsidR="005E3374">
        <w:rPr>
          <w:rFonts w:hint="eastAsia"/>
          <w:lang w:eastAsia="zh-CN"/>
        </w:rPr>
        <w:t>Brazil</w:t>
      </w:r>
      <w:r w:rsidR="007718F3">
        <w:rPr>
          <w:rFonts w:hint="eastAsia"/>
          <w:lang w:eastAsia="zh-CN"/>
        </w:rPr>
        <w:t>, Philippines, and other countries.</w:t>
      </w:r>
      <w:r w:rsidRPr="00257FB4">
        <w:t xml:space="preserve"> The conference thus created a productive interdisciplinary space in which questions of representation, power, racialisation, gender, colonial memory, cultural translation, and resistance could be considered together.</w:t>
      </w:r>
    </w:p>
    <w:p w14:paraId="3B3AE213" w14:textId="386F0E63" w:rsidR="00257FB4" w:rsidRPr="00257FB4" w:rsidRDefault="00257FB4" w:rsidP="00257FB4">
      <w:pPr>
        <w:pStyle w:val="p3"/>
        <w:spacing w:before="0" w:beforeAutospacing="0" w:after="0" w:afterAutospacing="0" w:line="360" w:lineRule="auto"/>
        <w:ind w:firstLine="709"/>
        <w:jc w:val="both"/>
      </w:pPr>
      <w:r w:rsidRPr="00257FB4">
        <w:t xml:space="preserve">The first panel, </w:t>
      </w:r>
      <w:r w:rsidRPr="000A7F81">
        <w:rPr>
          <w:rStyle w:val="s1"/>
        </w:rPr>
        <w:t>Panel A</w:t>
      </w:r>
      <w:r w:rsidRPr="000A7F81">
        <w:t>,</w:t>
      </w:r>
      <w:r w:rsidRPr="00257FB4">
        <w:t xml:space="preserve"> took place from </w:t>
      </w:r>
      <w:r w:rsidRPr="00A65721">
        <w:rPr>
          <w:rStyle w:val="s1"/>
        </w:rPr>
        <w:t>09:00 to 11:00</w:t>
      </w:r>
      <w:r w:rsidRPr="00A65721">
        <w:t xml:space="preserve"> and opened</w:t>
      </w:r>
      <w:r w:rsidRPr="00257FB4">
        <w:t xml:space="preserve"> the day with papers that foregrounded literature, film, Orientalism, colonial discourse, and subaltern testimony. </w:t>
      </w:r>
      <w:r w:rsidRPr="00AD67F6">
        <w:rPr>
          <w:rStyle w:val="s1"/>
          <w:i/>
          <w:iCs/>
        </w:rPr>
        <w:t>Shiting Lu</w:t>
      </w:r>
      <w:r w:rsidRPr="00257FB4">
        <w:t xml:space="preserve"> presented a paper entitled </w:t>
      </w:r>
      <w:r w:rsidRPr="00A65721">
        <w:rPr>
          <w:rStyle w:val="s1"/>
        </w:rPr>
        <w:t>“Compliance or Resistance to Orientalism? Retelling Chinese Women’s Stories in Literary and Cinematic Snow Flower and the Secret Fan”</w:t>
      </w:r>
      <w:r w:rsidR="00A65721">
        <w:t xml:space="preserve">. </w:t>
      </w:r>
      <w:r w:rsidRPr="00257FB4">
        <w:t>Her paper examined Lisa See’s novel and Wayne Wang’s film adaptation through the lens of postcolonial feminism, focusing on the representation of Chinese women’s bodies, voices, sexuality, and agency. The paper raised important questions about whether the texts reproduce Orientalist fantasies of ancient China or whether they complicate Western stereotypes of Chinese women by creating more ambiguous forms of resistance.</w:t>
      </w:r>
    </w:p>
    <w:p w14:paraId="5D051F31" w14:textId="54518126" w:rsidR="00257FB4" w:rsidRPr="00BE7A05" w:rsidRDefault="00257FB4" w:rsidP="00257FB4">
      <w:pPr>
        <w:pStyle w:val="p3"/>
        <w:spacing w:before="0" w:beforeAutospacing="0" w:after="0" w:afterAutospacing="0" w:line="360" w:lineRule="auto"/>
        <w:ind w:firstLine="709"/>
        <w:jc w:val="both"/>
      </w:pPr>
      <w:r w:rsidRPr="00257FB4">
        <w:lastRenderedPageBreak/>
        <w:t xml:space="preserve">The second paper, by </w:t>
      </w:r>
      <w:r w:rsidRPr="00A65721">
        <w:rPr>
          <w:rStyle w:val="s1"/>
          <w:i/>
          <w:iCs/>
        </w:rPr>
        <w:t xml:space="preserve">Duaa Salameh </w:t>
      </w:r>
      <w:r w:rsidRPr="00A65721">
        <w:rPr>
          <w:rStyle w:val="s1"/>
        </w:rPr>
        <w:t>and</w:t>
      </w:r>
      <w:r w:rsidRPr="00A65721">
        <w:rPr>
          <w:rStyle w:val="s1"/>
          <w:i/>
          <w:iCs/>
        </w:rPr>
        <w:t xml:space="preserve"> Ahmad Gholi</w:t>
      </w:r>
      <w:r w:rsidRPr="00257FB4">
        <w:t xml:space="preserve">, addressed </w:t>
      </w:r>
      <w:r w:rsidRPr="00A65721">
        <w:rPr>
          <w:rStyle w:val="s1"/>
        </w:rPr>
        <w:t>Alexander Burnes’s Travels into Bokhara</w:t>
      </w:r>
      <w:r w:rsidRPr="00257FB4">
        <w:t xml:space="preserve"> and the Orientalised representation of ethnic groups encountered </w:t>
      </w:r>
      <w:r w:rsidRPr="00BE7A05">
        <w:t xml:space="preserve">during Burnes’s travels through India, Afghanistan, Central Asia, and Persia. Their paper, </w:t>
      </w:r>
      <w:r w:rsidRPr="00BE7A05">
        <w:rPr>
          <w:rStyle w:val="s1"/>
        </w:rPr>
        <w:t>“Study of Orientalized Ethnics in Alexander Burnes’ Travels into Bokhara”</w:t>
      </w:r>
      <w:r w:rsidR="00AD67F6" w:rsidRPr="00BE7A05">
        <w:rPr>
          <w:rStyle w:val="s1"/>
        </w:rPr>
        <w:t>,</w:t>
      </w:r>
      <w:r w:rsidRPr="00BE7A05">
        <w:t xml:space="preserve"> argued that Burnes’s travel narrative did not simply describe the peoples he encountered, but actively framed them through colonial and Orientalist interpretive structures. The paper placed Burnes’s writing in relation to the East India Company, the Great Game, and literary precedents such as </w:t>
      </w:r>
      <w:r w:rsidRPr="00BE7A05">
        <w:rPr>
          <w:rStyle w:val="s1"/>
          <w:i/>
          <w:iCs/>
        </w:rPr>
        <w:t>Lalla Rookh</w:t>
      </w:r>
      <w:r w:rsidRPr="00BE7A05">
        <w:t xml:space="preserve"> and </w:t>
      </w:r>
      <w:r w:rsidRPr="00BE7A05">
        <w:rPr>
          <w:rStyle w:val="s1"/>
          <w:i/>
          <w:iCs/>
        </w:rPr>
        <w:t>The Adventures of Hajji Baba of Ispahan</w:t>
      </w:r>
      <w:r w:rsidRPr="00BE7A05">
        <w:t>.</w:t>
      </w:r>
    </w:p>
    <w:p w14:paraId="6704D712" w14:textId="07E77E48" w:rsidR="00257FB4" w:rsidRPr="00BE7A05" w:rsidRDefault="00257FB4" w:rsidP="00257FB4">
      <w:pPr>
        <w:pStyle w:val="p3"/>
        <w:spacing w:before="0" w:beforeAutospacing="0" w:after="0" w:afterAutospacing="0" w:line="360" w:lineRule="auto"/>
        <w:ind w:firstLine="709"/>
        <w:jc w:val="both"/>
      </w:pPr>
      <w:r w:rsidRPr="00BE7A05">
        <w:rPr>
          <w:i/>
          <w:iCs/>
        </w:rPr>
        <w:t>Danica Jenck</w:t>
      </w:r>
      <w:r w:rsidRPr="00BE7A05">
        <w:t xml:space="preserve"> then presented </w:t>
      </w:r>
      <w:r w:rsidRPr="00BE7A05">
        <w:rPr>
          <w:rStyle w:val="s1"/>
        </w:rPr>
        <w:t>“Trese Fans Can’t Escape the Netflix Balete Tree: Why Trese Season 2 Won’t Exist.</w:t>
      </w:r>
      <w:r w:rsidR="00AD67F6" w:rsidRPr="00BE7A05">
        <w:t xml:space="preserve"> </w:t>
      </w:r>
      <w:r w:rsidRPr="00BE7A05">
        <w:t xml:space="preserve">This paper shifted the discussion to contemporary media and streaming platforms, analysing the Netflix animated series </w:t>
      </w:r>
      <w:r w:rsidRPr="00BE7A05">
        <w:rPr>
          <w:rStyle w:val="s1"/>
          <w:i/>
          <w:iCs/>
        </w:rPr>
        <w:t>Trese</w:t>
      </w:r>
      <w:r w:rsidRPr="00BE7A05">
        <w:t xml:space="preserve"> in relation to Filipino folklore, U.S. imperial influence, and corporate media structures. Jenck argued that the absence of a second season should not be understood merely as a matter of audience figures or production constraints, but as part of a wider coloniality of global media representation. The final paper in Panel A, by </w:t>
      </w:r>
      <w:r w:rsidRPr="00BE7A05">
        <w:rPr>
          <w:rStyle w:val="s1"/>
          <w:i/>
          <w:iCs/>
        </w:rPr>
        <w:t>Madhumita Chakrabarty</w:t>
      </w:r>
      <w:r w:rsidRPr="00BE7A05">
        <w:t xml:space="preserve">, was entitled </w:t>
      </w:r>
      <w:r w:rsidRPr="00BE7A05">
        <w:rPr>
          <w:rStyle w:val="s1"/>
        </w:rPr>
        <w:t>“Melodies of Malady: Epidemic Memory and Folk Testimonies as Resistance to Colonial Health Narratives”</w:t>
      </w:r>
      <w:r w:rsidR="00433564" w:rsidRPr="00BE7A05">
        <w:t xml:space="preserve">. </w:t>
      </w:r>
      <w:r w:rsidRPr="00BE7A05">
        <w:t>Chakrabarty examined Indian folk songs as counter-narratives to colonial and biomedical discourses on epidemics, showing how oral traditions preserve forms of memory, suffering, healing, and resistance that are often absent from official records.</w:t>
      </w:r>
    </w:p>
    <w:p w14:paraId="1ED7317B" w14:textId="45147DFC" w:rsidR="00257FB4" w:rsidRPr="00BE7A05" w:rsidRDefault="00257FB4" w:rsidP="00257FB4">
      <w:pPr>
        <w:pStyle w:val="p3"/>
        <w:spacing w:before="0" w:beforeAutospacing="0" w:after="0" w:afterAutospacing="0" w:line="360" w:lineRule="auto"/>
        <w:ind w:firstLine="709"/>
        <w:jc w:val="both"/>
      </w:pPr>
      <w:r w:rsidRPr="00BE7A05">
        <w:t xml:space="preserve">The second session of the day, from </w:t>
      </w:r>
      <w:r w:rsidRPr="00BE7A05">
        <w:rPr>
          <w:rStyle w:val="s1"/>
        </w:rPr>
        <w:t>11:00 to 12:30</w:t>
      </w:r>
      <w:r w:rsidRPr="00BE7A05">
        <w:t xml:space="preserve">, was dedicated to the keynote lecture by </w:t>
      </w:r>
      <w:r w:rsidRPr="00BE7A05">
        <w:rPr>
          <w:rStyle w:val="s1"/>
          <w:i/>
          <w:iCs/>
        </w:rPr>
        <w:t>Sônia Campaner Miguel Ferrari</w:t>
      </w:r>
      <w:r w:rsidRPr="00BE7A05">
        <w:t xml:space="preserve">, from the </w:t>
      </w:r>
      <w:r w:rsidRPr="00BE7A05">
        <w:rPr>
          <w:rStyle w:val="s1"/>
          <w:i/>
          <w:iCs/>
        </w:rPr>
        <w:t>Pontifical Catholic University of São Paulo</w:t>
      </w:r>
      <w:r w:rsidRPr="00BE7A05">
        <w:rPr>
          <w:rStyle w:val="s1"/>
        </w:rPr>
        <w:t>, Brazil</w:t>
      </w:r>
      <w:r w:rsidRPr="00BE7A05">
        <w:t xml:space="preserve">. Her </w:t>
      </w:r>
      <w:r w:rsidR="00433564" w:rsidRPr="00BE7A05">
        <w:t>talk</w:t>
      </w:r>
      <w:r w:rsidRPr="00BE7A05">
        <w:t xml:space="preserve"> explored public art in the São Paulo subway system, with particular attention to collective perception, militant art, and the relation between art, ecology, and urban life. The lecture examined how works of art installed in public transportation spaces are integrated into the daily perception of millions of users. Ferrari considered the ethical and political function of art in spaces of intense circulation, focusing especially on artistic practices that call attention to environmental destruction, capitalist extraction, and the shared destiny of human life and nature. Her discussion of figures such as </w:t>
      </w:r>
      <w:r w:rsidRPr="00BE7A05">
        <w:rPr>
          <w:rStyle w:val="s1"/>
        </w:rPr>
        <w:t>Franz Krajcberg</w:t>
      </w:r>
      <w:r w:rsidRPr="00BE7A05">
        <w:t xml:space="preserve">, </w:t>
      </w:r>
      <w:r w:rsidRPr="00BE7A05">
        <w:rPr>
          <w:rStyle w:val="s1"/>
        </w:rPr>
        <w:t>Joseph Beuys</w:t>
      </w:r>
      <w:r w:rsidRPr="00BE7A05">
        <w:t xml:space="preserve">, and the muralist </w:t>
      </w:r>
      <w:r w:rsidRPr="00BE7A05">
        <w:rPr>
          <w:rStyle w:val="s1"/>
        </w:rPr>
        <w:t>Cadumen</w:t>
      </w:r>
      <w:r w:rsidRPr="00BE7A05">
        <w:t xml:space="preserve"> opened a sustained reflection on art as a form of environmental warning and public intervention. The keynote drew on </w:t>
      </w:r>
      <w:r w:rsidRPr="00BE7A05">
        <w:rPr>
          <w:rStyle w:val="s1"/>
        </w:rPr>
        <w:t>Walter Benjamin’s</w:t>
      </w:r>
      <w:r w:rsidRPr="00BE7A05">
        <w:t xml:space="preserve"> reflections in </w:t>
      </w:r>
      <w:r w:rsidRPr="00BE7A05">
        <w:rPr>
          <w:rStyle w:val="s1"/>
        </w:rPr>
        <w:t>“The Work of Art in the Age of Mechanical Reproduction”</w:t>
      </w:r>
      <w:r w:rsidRPr="00BE7A05">
        <w:t xml:space="preserve"> to consider how public art may alter perception, collective experience, and political consciousness.</w:t>
      </w:r>
    </w:p>
    <w:p w14:paraId="39A7C888" w14:textId="75AAA2FD" w:rsidR="00257FB4" w:rsidRPr="00BE7A05" w:rsidRDefault="00257FB4" w:rsidP="00257FB4">
      <w:pPr>
        <w:pStyle w:val="p3"/>
        <w:spacing w:before="0" w:beforeAutospacing="0" w:after="0" w:afterAutospacing="0" w:line="360" w:lineRule="auto"/>
        <w:ind w:firstLine="709"/>
        <w:jc w:val="both"/>
      </w:pPr>
      <w:r w:rsidRPr="00BE7A05">
        <w:lastRenderedPageBreak/>
        <w:t xml:space="preserve">After the keynote, the </w:t>
      </w:r>
      <w:r w:rsidRPr="00BE7A05">
        <w:rPr>
          <w:rStyle w:val="s1"/>
        </w:rPr>
        <w:t>Q&amp;A session from 12:00 to 12:30</w:t>
      </w:r>
      <w:r w:rsidRPr="00BE7A05">
        <w:t xml:space="preserve"> generated discussion around the social function of public art, the relation between aesthetic experience and political critique, and the extent to which public artworks can interrupt the habitual rhythms of everyday urban life. Delegates raised questions about the accessibility of art outside museum spaces, the role of public institutions in shaping collective perception, and the tension between art as civic ornament and art as critique.</w:t>
      </w:r>
    </w:p>
    <w:p w14:paraId="410C7106" w14:textId="1A85B797" w:rsidR="00257FB4" w:rsidRPr="00BE7A05" w:rsidRDefault="00257FB4" w:rsidP="00257FB4">
      <w:pPr>
        <w:pStyle w:val="p3"/>
        <w:spacing w:before="0" w:beforeAutospacing="0" w:after="0" w:afterAutospacing="0" w:line="360" w:lineRule="auto"/>
        <w:ind w:firstLine="709"/>
        <w:jc w:val="both"/>
      </w:pPr>
      <w:r w:rsidRPr="00BE7A05">
        <w:t xml:space="preserve">The afternoon continued with </w:t>
      </w:r>
      <w:r w:rsidRPr="00BE7A05">
        <w:rPr>
          <w:rStyle w:val="s1"/>
        </w:rPr>
        <w:t>Panel B</w:t>
      </w:r>
      <w:r w:rsidRPr="00BE7A05">
        <w:t xml:space="preserve">, held from </w:t>
      </w:r>
      <w:r w:rsidRPr="00BE7A05">
        <w:rPr>
          <w:rStyle w:val="s1"/>
        </w:rPr>
        <w:t>14:00 to 16:00</w:t>
      </w:r>
      <w:r w:rsidRPr="00BE7A05">
        <w:rPr>
          <w:i/>
          <w:iCs/>
        </w:rPr>
        <w:t xml:space="preserve">. </w:t>
      </w:r>
      <w:r w:rsidRPr="00BE7A05">
        <w:rPr>
          <w:rStyle w:val="s1"/>
          <w:i/>
          <w:iCs/>
        </w:rPr>
        <w:t>Wing Hei Wang</w:t>
      </w:r>
      <w:r w:rsidRPr="00BE7A05">
        <w:t xml:space="preserve"> presented </w:t>
      </w:r>
      <w:r w:rsidRPr="00BE7A05">
        <w:rPr>
          <w:rStyle w:val="s1"/>
        </w:rPr>
        <w:t>“To Eat or not to Eat: Maugham’s Afterlives in Burgess’s and Tan’s Malay(si)an Novels”</w:t>
      </w:r>
      <w:r w:rsidR="000A7F81" w:rsidRPr="00BE7A05">
        <w:t xml:space="preserve">. </w:t>
      </w:r>
      <w:r w:rsidRPr="00BE7A05">
        <w:t xml:space="preserve">The paper examined the afterlives of W. Somerset Maugham in Anthony Burgess’s </w:t>
      </w:r>
      <w:r w:rsidRPr="00BE7A05">
        <w:rPr>
          <w:rStyle w:val="s1"/>
          <w:i/>
          <w:iCs/>
        </w:rPr>
        <w:t>The Malayan Trilogy</w:t>
      </w:r>
      <w:r w:rsidRPr="00BE7A05">
        <w:t xml:space="preserve"> and Tan Twan Eng’s </w:t>
      </w:r>
      <w:r w:rsidRPr="00BE7A05">
        <w:rPr>
          <w:rStyle w:val="s1"/>
          <w:i/>
          <w:iCs/>
        </w:rPr>
        <w:t>The House of Doors</w:t>
      </w:r>
      <w:r w:rsidRPr="00BE7A05">
        <w:t>. Drawing on Oswald de Andrade’s theory of Anthropophagy and Gérard Genette’s notion of hypertextuality, Wang argued that Burgess and Tan do not simply reject Maugham’s colonial literary inheritance, but absorb, transform, and rework it in ambivalent ways.</w:t>
      </w:r>
    </w:p>
    <w:p w14:paraId="0A289138" w14:textId="46F8B190" w:rsidR="00257FB4" w:rsidRPr="00BE7A05" w:rsidRDefault="00257FB4" w:rsidP="00257FB4">
      <w:pPr>
        <w:pStyle w:val="p3"/>
        <w:spacing w:before="0" w:beforeAutospacing="0" w:after="0" w:afterAutospacing="0" w:line="360" w:lineRule="auto"/>
        <w:ind w:firstLine="709"/>
        <w:jc w:val="both"/>
      </w:pPr>
      <w:r w:rsidRPr="00BE7A05">
        <w:rPr>
          <w:i/>
          <w:iCs/>
        </w:rPr>
        <w:t xml:space="preserve">Waquar Ahmad </w:t>
      </w:r>
      <w:r w:rsidRPr="00BE7A05">
        <w:t>and</w:t>
      </w:r>
      <w:r w:rsidRPr="00BE7A05">
        <w:rPr>
          <w:i/>
          <w:iCs/>
        </w:rPr>
        <w:t xml:space="preserve"> Anil Manjhi</w:t>
      </w:r>
      <w:r w:rsidRPr="00BE7A05">
        <w:t xml:space="preserve"> followed with </w:t>
      </w:r>
      <w:r w:rsidRPr="00BE7A05">
        <w:rPr>
          <w:rStyle w:val="s1"/>
        </w:rPr>
        <w:t>“From Snake-Charmers to Climate Villains: Neo-colonial Narratives and the Cultural Othering of the Global South”</w:t>
      </w:r>
      <w:r w:rsidR="007415FE" w:rsidRPr="00BE7A05">
        <w:rPr>
          <w:rStyle w:val="s1"/>
        </w:rPr>
        <w:t>.</w:t>
      </w:r>
      <w:r w:rsidRPr="00BE7A05">
        <w:t xml:space="preserve"> Their paper examined the reactivation of colonial stereotypes in contemporary climate fiction and media discourse, particularly in relation to India and the Global South. They argued that older Orientalist caricatures are being reconfigured in the Anthropocene through narratives that cast formerly colonised nations as chaotic, dependent, or environmentally irresponsible.</w:t>
      </w:r>
    </w:p>
    <w:p w14:paraId="2CB3DA28" w14:textId="23A93CAC" w:rsidR="00257FB4" w:rsidRPr="00BE7A05" w:rsidRDefault="00257FB4" w:rsidP="00257FB4">
      <w:pPr>
        <w:pStyle w:val="p3"/>
        <w:spacing w:before="0" w:beforeAutospacing="0" w:after="0" w:afterAutospacing="0" w:line="360" w:lineRule="auto"/>
        <w:ind w:firstLine="709"/>
        <w:jc w:val="both"/>
      </w:pPr>
      <w:r w:rsidRPr="00BE7A05">
        <w:rPr>
          <w:i/>
          <w:iCs/>
        </w:rPr>
        <w:t>Yiming Liu</w:t>
      </w:r>
      <w:r w:rsidRPr="00BE7A05">
        <w:t xml:space="preserve"> presented </w:t>
      </w:r>
      <w:r w:rsidRPr="00BE7A05">
        <w:rPr>
          <w:rStyle w:val="s1"/>
        </w:rPr>
        <w:t>“Reframing Colonial Imaginaries: Science Fiction Translation and Genre Formation under Semi-Colonial Modernity in China (1900–1949).”</w:t>
      </w:r>
      <w:r w:rsidRPr="00BE7A05">
        <w:t xml:space="preserve"> Her paper analysed the early translation of science fiction into Chinese as a cultural practice shaped by semi-colonial modernity. She demonstrated how translation, paratexts, censorship, and publishing conditions contributed to the emergence of science fiction as a genre connected to national reform, scientific imagination, and modernity.</w:t>
      </w:r>
    </w:p>
    <w:p w14:paraId="40C1D780" w14:textId="4BAB042F" w:rsidR="00257FB4" w:rsidRPr="00BE7A05" w:rsidRDefault="00257FB4" w:rsidP="00257FB4">
      <w:pPr>
        <w:pStyle w:val="p3"/>
        <w:spacing w:before="0" w:beforeAutospacing="0" w:after="0" w:afterAutospacing="0" w:line="360" w:lineRule="auto"/>
        <w:ind w:firstLine="709"/>
        <w:jc w:val="both"/>
      </w:pPr>
      <w:r w:rsidRPr="00BE7A05">
        <w:t xml:space="preserve">The final paper in Panel B was by </w:t>
      </w:r>
      <w:r w:rsidRPr="00BE7A05">
        <w:rPr>
          <w:rStyle w:val="s1"/>
          <w:i/>
          <w:iCs/>
        </w:rPr>
        <w:t>Jennifer Komorowski</w:t>
      </w:r>
      <w:r w:rsidRPr="00BE7A05">
        <w:t xml:space="preserve">, entitled </w:t>
      </w:r>
      <w:r w:rsidRPr="00BE7A05">
        <w:rPr>
          <w:rStyle w:val="s1"/>
        </w:rPr>
        <w:t>“Depictions of Indigenous Ambassadors to London: Undermining the Fight for Political Sovereignty”</w:t>
      </w:r>
      <w:r w:rsidR="002E33B5" w:rsidRPr="00BE7A05">
        <w:t xml:space="preserve">. </w:t>
      </w:r>
      <w:r w:rsidRPr="00BE7A05">
        <w:t xml:space="preserve">Komorowski examined nineteenth- and early twentieth-century media depictions of Indigenous ambassadors and travellers to London, focusing on how racist and dehumanising representations undermined Indigenous diplomatic work and struggles for political sovereignty. Her paper connected literary </w:t>
      </w:r>
      <w:r w:rsidRPr="00BE7A05">
        <w:lastRenderedPageBreak/>
        <w:t>and media stereotypes to the political histories of Indigenous visitors such as Peter Jones, Catherine Sutton, and Chief Deskaheh.</w:t>
      </w:r>
    </w:p>
    <w:p w14:paraId="11CE69D1" w14:textId="7493FF23" w:rsidR="00257FB4" w:rsidRPr="00422A80" w:rsidRDefault="00257FB4" w:rsidP="00257FB4">
      <w:pPr>
        <w:pStyle w:val="p3"/>
        <w:spacing w:before="0" w:beforeAutospacing="0" w:after="0" w:afterAutospacing="0" w:line="360" w:lineRule="auto"/>
        <w:ind w:firstLine="709"/>
        <w:jc w:val="both"/>
      </w:pPr>
      <w:r w:rsidRPr="00BE7A05">
        <w:t xml:space="preserve">The final session, </w:t>
      </w:r>
      <w:r w:rsidRPr="00BE7A05">
        <w:rPr>
          <w:rStyle w:val="s1"/>
        </w:rPr>
        <w:t>Panel C</w:t>
      </w:r>
      <w:r w:rsidRPr="00BE7A05">
        <w:t xml:space="preserve">, took place from </w:t>
      </w:r>
      <w:r w:rsidRPr="00BE7A05">
        <w:rPr>
          <w:rStyle w:val="s1"/>
        </w:rPr>
        <w:t>16:30 to 18:30</w:t>
      </w:r>
      <w:r w:rsidRPr="00BE7A05">
        <w:t xml:space="preserve">. </w:t>
      </w:r>
      <w:r w:rsidRPr="00BE7A05">
        <w:rPr>
          <w:rStyle w:val="s1"/>
          <w:i/>
          <w:iCs/>
        </w:rPr>
        <w:t>Eberval Gadelha Jr</w:t>
      </w:r>
      <w:r w:rsidRPr="00BE7A05">
        <w:t xml:space="preserve"> presented </w:t>
      </w:r>
      <w:r w:rsidRPr="00BE7A05">
        <w:rPr>
          <w:rStyle w:val="s1"/>
        </w:rPr>
        <w:t>“France turned upside-down: radical alterity in Thevet and De Bry under the light of Vilém Flusser’s Vampyroteuthis infernalis”</w:t>
      </w:r>
      <w:r w:rsidR="00BE7A05" w:rsidRPr="00BE7A05">
        <w:rPr>
          <w:rStyle w:val="s1"/>
        </w:rPr>
        <w:t>.</w:t>
      </w:r>
      <w:r w:rsidRPr="00257FB4">
        <w:t xml:space="preserve"> His paper placed André Thevet’s </w:t>
      </w:r>
      <w:r w:rsidRPr="00257FB4">
        <w:rPr>
          <w:rStyle w:val="s1"/>
          <w:i/>
          <w:iCs/>
        </w:rPr>
        <w:t>Les Singularités de la France Antarctique</w:t>
      </w:r>
      <w:r w:rsidRPr="00257FB4">
        <w:t xml:space="preserve"> and Theodore de Bry’s engravings in dialogue with Flusser’s philosophical account of radical alterity. The paper explored how early modern representations of Brazil oscillated between empirical </w:t>
      </w:r>
      <w:r w:rsidRPr="00422A80">
        <w:t>observation, fantasy, monstrosity, and colonial projection.</w:t>
      </w:r>
    </w:p>
    <w:p w14:paraId="3B86DF65" w14:textId="1D51353A" w:rsidR="00257FB4" w:rsidRPr="00257FB4" w:rsidRDefault="00257FB4" w:rsidP="00257FB4">
      <w:pPr>
        <w:pStyle w:val="p3"/>
        <w:spacing w:before="0" w:beforeAutospacing="0" w:after="0" w:afterAutospacing="0" w:line="360" w:lineRule="auto"/>
        <w:ind w:firstLine="709"/>
        <w:jc w:val="both"/>
      </w:pPr>
      <w:r w:rsidRPr="00422A80">
        <w:rPr>
          <w:i/>
          <w:iCs/>
        </w:rPr>
        <w:t>Sofia Samea</w:t>
      </w:r>
      <w:r w:rsidRPr="00422A80">
        <w:t xml:space="preserve"> then presented </w:t>
      </w:r>
      <w:r w:rsidRPr="00422A80">
        <w:rPr>
          <w:rStyle w:val="s1"/>
        </w:rPr>
        <w:t>“Urban Dynamics and Rio’s Transformation: Representations of Favelas throughout the 20th Century”</w:t>
      </w:r>
      <w:r w:rsidR="00BE7A05" w:rsidRPr="00422A80">
        <w:rPr>
          <w:rStyle w:val="s1"/>
        </w:rPr>
        <w:t>.</w:t>
      </w:r>
      <w:r w:rsidRPr="00422A80">
        <w:t xml:space="preserve"> Her paper examined pictorial representations of favelas in Rio de Janeiro, considering how visual</w:t>
      </w:r>
      <w:r w:rsidRPr="00257FB4">
        <w:t xml:space="preserve"> clichés and processes of urban removal contributed to the production of a generalising imaginary about favela territories and their inhabitants. She also discussed Antonio Manuel’s </w:t>
      </w:r>
      <w:r w:rsidRPr="00257FB4">
        <w:rPr>
          <w:rStyle w:val="s1"/>
          <w:i/>
          <w:iCs/>
        </w:rPr>
        <w:t>Frutos do Espaço</w:t>
      </w:r>
      <w:r w:rsidRPr="00257FB4">
        <w:t xml:space="preserve"> as a work that engages displacement without simply reproducing the representation of the other.</w:t>
      </w:r>
    </w:p>
    <w:p w14:paraId="4E2FFF93" w14:textId="2B828275" w:rsidR="00257FB4" w:rsidRPr="00257FB4" w:rsidRDefault="00257FB4" w:rsidP="00257FB4">
      <w:pPr>
        <w:pStyle w:val="p3"/>
        <w:spacing w:before="0" w:beforeAutospacing="0" w:after="0" w:afterAutospacing="0" w:line="360" w:lineRule="auto"/>
        <w:ind w:firstLine="709"/>
        <w:jc w:val="both"/>
      </w:pPr>
      <w:r w:rsidRPr="00422A80">
        <w:rPr>
          <w:i/>
          <w:iCs/>
        </w:rPr>
        <w:t>Amanda Cartaya</w:t>
      </w:r>
      <w:r w:rsidRPr="00257FB4">
        <w:t xml:space="preserve"> presen</w:t>
      </w:r>
      <w:r w:rsidRPr="007C346A">
        <w:t xml:space="preserve">ted </w:t>
      </w:r>
      <w:r w:rsidRPr="007C346A">
        <w:rPr>
          <w:rStyle w:val="s1"/>
        </w:rPr>
        <w:t>“The Colonial Footprint: An Analysis of Nationality and National Identity in Brazil through the Film Executive Order”</w:t>
      </w:r>
      <w:r w:rsidR="007C346A" w:rsidRPr="007C346A">
        <w:rPr>
          <w:rStyle w:val="s1"/>
        </w:rPr>
        <w:t>.</w:t>
      </w:r>
      <w:r w:rsidRPr="007C346A">
        <w:t xml:space="preserve"> Her </w:t>
      </w:r>
      <w:r w:rsidRPr="00257FB4">
        <w:t xml:space="preserve">paper analysed the Brazilian film </w:t>
      </w:r>
      <w:r w:rsidRPr="00257FB4">
        <w:rPr>
          <w:rStyle w:val="s1"/>
          <w:i/>
          <w:iCs/>
        </w:rPr>
        <w:t>Medida Provisória</w:t>
      </w:r>
      <w:r w:rsidRPr="00257FB4">
        <w:t xml:space="preserve"> in relation to race, nationality, and the persistence of colonial ideas of Blackness in Brazil. Cartaya argued that the film exposes how African descent is treated as foreign in ways that European descent is not, revealing the continuing colonial structure of national identity.</w:t>
      </w:r>
    </w:p>
    <w:p w14:paraId="39CEFC8A" w14:textId="40E553D2" w:rsidR="00257FB4" w:rsidRPr="00257FB4" w:rsidRDefault="00257FB4" w:rsidP="00257FB4">
      <w:pPr>
        <w:pStyle w:val="p3"/>
        <w:spacing w:before="0" w:beforeAutospacing="0" w:after="0" w:afterAutospacing="0" w:line="360" w:lineRule="auto"/>
        <w:ind w:firstLine="709"/>
        <w:jc w:val="both"/>
      </w:pPr>
      <w:r w:rsidRPr="00257FB4">
        <w:t xml:space="preserve">The final paper of the day was delivered by </w:t>
      </w:r>
      <w:r w:rsidRPr="007C346A">
        <w:rPr>
          <w:rStyle w:val="s1"/>
          <w:i/>
          <w:iCs/>
        </w:rPr>
        <w:t>Leo Deng</w:t>
      </w:r>
      <w:r w:rsidRPr="00257FB4">
        <w:t xml:space="preserve">, entitled </w:t>
      </w:r>
      <w:r w:rsidRPr="007C346A">
        <w:rPr>
          <w:rStyle w:val="s1"/>
        </w:rPr>
        <w:t>“The Phenomenological ‘Limbo State’ of Race, Nation, and Class: from Black Liberation to Neo-colonialism.”</w:t>
      </w:r>
      <w:r w:rsidRPr="007C346A">
        <w:t xml:space="preserve"> Deng’s</w:t>
      </w:r>
      <w:r w:rsidRPr="00257FB4">
        <w:t xml:space="preserve"> paper brought together Sartrean Marxist phenomenology, Fanon, psychoanalysis, racial subjectivity, and the history of radical movements in the United States. His paper examined assimilationist politics, racial buffer classes, primitive accumulation, and the conditions under which liberatory movements can be undermined by internal and structural contradictions.</w:t>
      </w:r>
    </w:p>
    <w:p w14:paraId="2605DFA2" w14:textId="38CD8977" w:rsidR="00257FB4" w:rsidRPr="00257FB4" w:rsidRDefault="00257FB4" w:rsidP="00257FB4">
      <w:pPr>
        <w:pStyle w:val="p3"/>
        <w:spacing w:before="0" w:beforeAutospacing="0" w:after="0" w:afterAutospacing="0" w:line="360" w:lineRule="auto"/>
        <w:ind w:firstLine="709"/>
        <w:jc w:val="both"/>
      </w:pPr>
      <w:r w:rsidRPr="00257FB4">
        <w:t xml:space="preserve">Across the conference, discussion repeatedly returned to the question of how the “Other” is produced, circulated, consumed, and resisted. Delegates considered the role of colonial archives, travel narratives, public art, film, translation, oral traditions, urban imagery, media platforms, and environmental discourse in shaping regimes of visibility and intelligibility. A recurring theme was that colonial and neocolonial representations are rarely static: they mutate across genres, periods, </w:t>
      </w:r>
      <w:r w:rsidRPr="00257FB4">
        <w:lastRenderedPageBreak/>
        <w:t>and media forms. At the same time, speakers emphasised that literary, visual, oral, and artistic practices can also function as counter-archives, allowing marginalised subjects and communities to contest dominant frameworks of representation.</w:t>
      </w:r>
    </w:p>
    <w:p w14:paraId="5F1B6635" w14:textId="401F5C78" w:rsidR="00446145" w:rsidRPr="00257FB4" w:rsidRDefault="00257FB4" w:rsidP="00257FB4">
      <w:pPr>
        <w:pStyle w:val="p4"/>
        <w:spacing w:before="0" w:beforeAutospacing="0" w:after="0" w:afterAutospacing="0" w:line="360" w:lineRule="auto"/>
        <w:ind w:firstLine="709"/>
        <w:jc w:val="both"/>
      </w:pPr>
      <w:r w:rsidRPr="00257FB4">
        <w:t xml:space="preserve">The conference succeeded in bringing together a diverse range of papers under a coherent conceptual framework. It created a space for rigorous interdisciplinary exchange and demonstrated the continuing urgency of studying colonial and neocolonial images, not only as historical objects, but as active forces in contemporary cultural and political life. The event strengthened research conversations within the </w:t>
      </w:r>
      <w:r w:rsidRPr="00053C45">
        <w:rPr>
          <w:i/>
          <w:iCs/>
        </w:rPr>
        <w:t>Humanities Research Centre</w:t>
      </w:r>
      <w:r w:rsidRPr="00257FB4">
        <w:t xml:space="preserve"> and contributed to broader debates on coloniality, aesthetics, literature, media, and the politics of representation.</w:t>
      </w:r>
    </w:p>
    <w:sectPr w:rsidR="00446145" w:rsidRPr="00257FB4">
      <w:pgSz w:w="12240" w:h="15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DengXian">
    <w:panose1 w:val="02010600030101010101"/>
    <w:charset w:val="86"/>
    <w:family w:val="auto"/>
    <w:pitch w:val="variable"/>
    <w:sig w:usb0="A00002BF" w:usb1="38CF7CFA" w:usb2="00000016" w:usb3="00000000" w:csb0="0004000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DengXian Light">
    <w:charset w:val="86"/>
    <w:family w:val="auto"/>
    <w:pitch w:val="variable"/>
    <w:sig w:usb0="A00002BF" w:usb1="38CF7CFA" w:usb2="00000016" w:usb3="00000000" w:csb0="0004000F" w:csb1="00000000"/>
  </w:font>
  <w:font w:name="Calibri">
    <w:panose1 w:val="020F05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bordersDoNotSurroundHeader/>
  <w:bordersDoNotSurroundFooter/>
  <w:proofState w:spelling="clean" w:grammar="clean"/>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57FB4"/>
    <w:rsid w:val="00053C45"/>
    <w:rsid w:val="000A7F81"/>
    <w:rsid w:val="00257FB4"/>
    <w:rsid w:val="002E33B5"/>
    <w:rsid w:val="003B184E"/>
    <w:rsid w:val="003B7746"/>
    <w:rsid w:val="00422A80"/>
    <w:rsid w:val="00433564"/>
    <w:rsid w:val="00446145"/>
    <w:rsid w:val="00554040"/>
    <w:rsid w:val="005E3374"/>
    <w:rsid w:val="00601E23"/>
    <w:rsid w:val="007415FE"/>
    <w:rsid w:val="007718F3"/>
    <w:rsid w:val="007C346A"/>
    <w:rsid w:val="00813132"/>
    <w:rsid w:val="00A65721"/>
    <w:rsid w:val="00AD67F6"/>
    <w:rsid w:val="00B80D4E"/>
    <w:rsid w:val="00BE7A05"/>
    <w:rsid w:val="00CB7DF2"/>
    <w:rsid w:val="00F95FFC"/>
  </w:rsids>
  <m:mathPr>
    <m:mathFont m:val="Cambria Math"/>
    <m:brkBin m:val="before"/>
    <m:brkBinSub m:val="--"/>
    <m:smallFrac m:val="0"/>
    <m:dispDef/>
    <m:lMargin m:val="0"/>
    <m:rMargin m:val="0"/>
    <m:defJc m:val="centerGroup"/>
    <m:wrapIndent m:val="1440"/>
    <m:intLim m:val="subSup"/>
    <m:naryLim m:val="undOvr"/>
  </m:mathPr>
  <w:themeFontLang w:val="en-GB" w:eastAsia="zh-CN"/>
  <w:clrSchemeMapping w:bg1="light1" w:t1="dark1" w:bg2="light2" w:t2="dark2" w:accent1="accent1" w:accent2="accent2" w:accent3="accent3" w:accent4="accent4" w:accent5="accent5" w:accent6="accent6" w:hyperlink="hyperlink" w:followedHyperlink="followedHyperlink"/>
  <w:decimalSymbol w:val="."/>
  <w:listSeparator w:val=","/>
  <w14:docId w14:val="030047B6"/>
  <w15:chartTrackingRefBased/>
  <w15:docId w15:val="{FF20DE59-FD4F-8C41-A884-B0F81395564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en-GB"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257FB4"/>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257FB4"/>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257FB4"/>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257FB4"/>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257FB4"/>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257FB4"/>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257FB4"/>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257FB4"/>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257FB4"/>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uiPriority w:val="99"/>
    <w:unhideWhenUsed/>
    <w:rsid w:val="00446145"/>
    <w:pPr>
      <w:tabs>
        <w:tab w:val="center" w:pos="4252"/>
        <w:tab w:val="right" w:pos="8504"/>
      </w:tabs>
      <w:spacing w:after="0" w:line="240" w:lineRule="auto"/>
    </w:pPr>
    <w:rPr>
      <w:rFonts w:ascii="Calibri" w:eastAsia="Calibri" w:hAnsi="Calibri" w:cs="Calibri"/>
      <w:kern w:val="0"/>
      <w:sz w:val="22"/>
      <w:szCs w:val="22"/>
      <w:lang w:val="pt-BR" w:eastAsia="pt-BR"/>
      <w14:ligatures w14:val="none"/>
    </w:rPr>
  </w:style>
  <w:style w:type="character" w:customStyle="1" w:styleId="FooterChar">
    <w:name w:val="Footer Char"/>
    <w:basedOn w:val="DefaultParagraphFont"/>
    <w:link w:val="Footer"/>
    <w:uiPriority w:val="99"/>
    <w:rsid w:val="00446145"/>
    <w:rPr>
      <w:rFonts w:ascii="Calibri" w:eastAsia="Calibri" w:hAnsi="Calibri" w:cs="Calibri"/>
      <w:kern w:val="0"/>
      <w:sz w:val="22"/>
      <w:szCs w:val="22"/>
      <w:lang w:val="pt-BR" w:eastAsia="pt-BR"/>
      <w14:ligatures w14:val="none"/>
    </w:rPr>
  </w:style>
  <w:style w:type="character" w:customStyle="1" w:styleId="Heading1Char">
    <w:name w:val="Heading 1 Char"/>
    <w:basedOn w:val="DefaultParagraphFont"/>
    <w:link w:val="Heading1"/>
    <w:uiPriority w:val="9"/>
    <w:rsid w:val="00257FB4"/>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257FB4"/>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257FB4"/>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257FB4"/>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257FB4"/>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257FB4"/>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257FB4"/>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257FB4"/>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257FB4"/>
    <w:rPr>
      <w:rFonts w:eastAsiaTheme="majorEastAsia" w:cstheme="majorBidi"/>
      <w:color w:val="272727" w:themeColor="text1" w:themeTint="D8"/>
    </w:rPr>
  </w:style>
  <w:style w:type="paragraph" w:styleId="Title">
    <w:name w:val="Title"/>
    <w:basedOn w:val="Normal"/>
    <w:next w:val="Normal"/>
    <w:link w:val="TitleChar"/>
    <w:uiPriority w:val="10"/>
    <w:qFormat/>
    <w:rsid w:val="00257FB4"/>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257FB4"/>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257FB4"/>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257FB4"/>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257FB4"/>
    <w:pPr>
      <w:spacing w:before="160"/>
      <w:jc w:val="center"/>
    </w:pPr>
    <w:rPr>
      <w:i/>
      <w:iCs/>
      <w:color w:val="404040" w:themeColor="text1" w:themeTint="BF"/>
    </w:rPr>
  </w:style>
  <w:style w:type="character" w:customStyle="1" w:styleId="QuoteChar">
    <w:name w:val="Quote Char"/>
    <w:basedOn w:val="DefaultParagraphFont"/>
    <w:link w:val="Quote"/>
    <w:uiPriority w:val="29"/>
    <w:rsid w:val="00257FB4"/>
    <w:rPr>
      <w:i/>
      <w:iCs/>
      <w:color w:val="404040" w:themeColor="text1" w:themeTint="BF"/>
    </w:rPr>
  </w:style>
  <w:style w:type="paragraph" w:styleId="ListParagraph">
    <w:name w:val="List Paragraph"/>
    <w:basedOn w:val="Normal"/>
    <w:uiPriority w:val="34"/>
    <w:qFormat/>
    <w:rsid w:val="00257FB4"/>
    <w:pPr>
      <w:ind w:left="720"/>
      <w:contextualSpacing/>
    </w:pPr>
  </w:style>
  <w:style w:type="character" w:styleId="IntenseEmphasis">
    <w:name w:val="Intense Emphasis"/>
    <w:basedOn w:val="DefaultParagraphFont"/>
    <w:uiPriority w:val="21"/>
    <w:qFormat/>
    <w:rsid w:val="00257FB4"/>
    <w:rPr>
      <w:i/>
      <w:iCs/>
      <w:color w:val="0F4761" w:themeColor="accent1" w:themeShade="BF"/>
    </w:rPr>
  </w:style>
  <w:style w:type="paragraph" w:styleId="IntenseQuote">
    <w:name w:val="Intense Quote"/>
    <w:basedOn w:val="Normal"/>
    <w:next w:val="Normal"/>
    <w:link w:val="IntenseQuoteChar"/>
    <w:uiPriority w:val="30"/>
    <w:qFormat/>
    <w:rsid w:val="00257FB4"/>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257FB4"/>
    <w:rPr>
      <w:i/>
      <w:iCs/>
      <w:color w:val="0F4761" w:themeColor="accent1" w:themeShade="BF"/>
    </w:rPr>
  </w:style>
  <w:style w:type="character" w:styleId="IntenseReference">
    <w:name w:val="Intense Reference"/>
    <w:basedOn w:val="DefaultParagraphFont"/>
    <w:uiPriority w:val="32"/>
    <w:qFormat/>
    <w:rsid w:val="00257FB4"/>
    <w:rPr>
      <w:b/>
      <w:bCs/>
      <w:smallCaps/>
      <w:color w:val="0F4761" w:themeColor="accent1" w:themeShade="BF"/>
      <w:spacing w:val="5"/>
    </w:rPr>
  </w:style>
  <w:style w:type="paragraph" w:customStyle="1" w:styleId="p1">
    <w:name w:val="p1"/>
    <w:basedOn w:val="Normal"/>
    <w:rsid w:val="00257FB4"/>
    <w:pPr>
      <w:spacing w:before="100" w:beforeAutospacing="1" w:after="100" w:afterAutospacing="1" w:line="240" w:lineRule="auto"/>
    </w:pPr>
    <w:rPr>
      <w:rFonts w:ascii="Times New Roman" w:eastAsia="Times New Roman" w:hAnsi="Times New Roman" w:cs="Times New Roman"/>
      <w:kern w:val="0"/>
      <w14:ligatures w14:val="none"/>
    </w:rPr>
  </w:style>
  <w:style w:type="paragraph" w:customStyle="1" w:styleId="p3">
    <w:name w:val="p3"/>
    <w:basedOn w:val="Normal"/>
    <w:rsid w:val="00257FB4"/>
    <w:pPr>
      <w:spacing w:before="100" w:beforeAutospacing="1" w:after="100" w:afterAutospacing="1" w:line="240" w:lineRule="auto"/>
    </w:pPr>
    <w:rPr>
      <w:rFonts w:ascii="Times New Roman" w:eastAsia="Times New Roman" w:hAnsi="Times New Roman" w:cs="Times New Roman"/>
      <w:kern w:val="0"/>
      <w14:ligatures w14:val="none"/>
    </w:rPr>
  </w:style>
  <w:style w:type="character" w:customStyle="1" w:styleId="s1">
    <w:name w:val="s1"/>
    <w:basedOn w:val="DefaultParagraphFont"/>
    <w:rsid w:val="00257FB4"/>
  </w:style>
  <w:style w:type="paragraph" w:customStyle="1" w:styleId="p4">
    <w:name w:val="p4"/>
    <w:basedOn w:val="Normal"/>
    <w:rsid w:val="00257FB4"/>
    <w:pPr>
      <w:spacing w:before="100" w:beforeAutospacing="1" w:after="100" w:afterAutospacing="1" w:line="240" w:lineRule="auto"/>
    </w:pPr>
    <w:rPr>
      <w:rFonts w:ascii="Times New Roman" w:eastAsia="Times New Roman" w:hAnsi="Times New Roman" w:cs="Times New Roman"/>
      <w:kern w:val="0"/>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0</TotalTime>
  <Pages>5</Pages>
  <Words>1688</Words>
  <Characters>9625</Characters>
  <Application>Microsoft Office Word</Application>
  <DocSecurity>4</DocSecurity>
  <Lines>80</Lines>
  <Paragraphs>22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11291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Gustavo Silva</dc:creator>
  <cp:keywords/>
  <dc:description/>
  <cp:lastModifiedBy>Rae, Sue</cp:lastModifiedBy>
  <cp:revision>2</cp:revision>
  <dcterms:created xsi:type="dcterms:W3CDTF">2026-06-23T07:59:00Z</dcterms:created>
  <dcterms:modified xsi:type="dcterms:W3CDTF">2026-06-23T07:59:00Z</dcterms:modified>
</cp:coreProperties>
</file>