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B4E3F" w:rsidRDefault="00B441A4" w:rsidP="001B4E3F">
      <w:pPr>
        <w:jc w:val="right"/>
        <w:rPr>
          <w:rFonts w:ascii="Andalus" w:hAnsi="Andalus" w:cs="Andalus"/>
          <w:b/>
          <w:sz w:val="40"/>
          <w:szCs w:val="60"/>
          <w:lang w:val="en-US"/>
        </w:rPr>
      </w:pPr>
      <w:bookmarkStart w:id="0" w:name="_GoBack"/>
      <w:bookmarkEnd w:id="0"/>
      <w:r w:rsidRPr="00B441A4">
        <w:rPr>
          <w:rFonts w:ascii="Andalus" w:hAnsi="Andalus" w:cs="Andalus"/>
          <w:b/>
          <w:noProof/>
          <w:sz w:val="40"/>
          <w:szCs w:val="60"/>
        </w:rPr>
        <w:drawing>
          <wp:anchor distT="0" distB="0" distL="114300" distR="114300" simplePos="0" relativeHeight="251658240" behindDoc="0" locked="0" layoutInCell="1" allowOverlap="1">
            <wp:simplePos x="0" y="0"/>
            <wp:positionH relativeFrom="column">
              <wp:posOffset>4626610</wp:posOffset>
            </wp:positionH>
            <wp:positionV relativeFrom="paragraph">
              <wp:posOffset>-190500</wp:posOffset>
            </wp:positionV>
            <wp:extent cx="1263015" cy="1816735"/>
            <wp:effectExtent l="19050" t="0" r="0" b="0"/>
            <wp:wrapSquare wrapText="bothSides"/>
            <wp:docPr id="1" name="Picture 1" descr="http://media.vam.ac.uk/media/thira/collection_images/2009BX/2009BX3720_jpg_l.jpg"/>
            <wp:cNvGraphicFramePr/>
            <a:graphic xmlns:a="http://schemas.openxmlformats.org/drawingml/2006/main">
              <a:graphicData uri="http://schemas.openxmlformats.org/drawingml/2006/picture">
                <pic:pic xmlns:pic="http://schemas.openxmlformats.org/drawingml/2006/picture">
                  <pic:nvPicPr>
                    <pic:cNvPr id="0" name="Picture 2" descr="http://media.vam.ac.uk/media/thira/collection_images/2009BX/2009BX3720_jpg_l.jpg"/>
                    <pic:cNvPicPr>
                      <a:picLocks noChangeAspect="1" noChangeArrowheads="1"/>
                    </pic:cNvPicPr>
                  </pic:nvPicPr>
                  <pic:blipFill rotWithShape="1">
                    <a:blip r:embed="rId5" cstate="print">
                      <a:extLst>
                        <a:ext uri="{28A0092B-C50C-407E-A947-70E740481C1C}">
                          <a14:useLocalDpi xmlns:a14="http://schemas.microsoft.com/office/drawing/2010/main" val="0"/>
                        </a:ext>
                      </a:extLst>
                    </a:blip>
                    <a:srcRect l="9158" t="4840" r="8589" b="5484"/>
                    <a:stretch/>
                  </pic:blipFill>
                  <pic:spPr bwMode="auto">
                    <a:xfrm>
                      <a:off x="0" y="0"/>
                      <a:ext cx="1263015" cy="1816735"/>
                    </a:xfrm>
                    <a:prstGeom prst="rect">
                      <a:avLst/>
                    </a:prstGeom>
                    <a:noFill/>
                    <a:ln>
                      <a:noFill/>
                    </a:ln>
                    <a:extLst>
                      <a:ext uri="{53640926-AAD7-44D8-BBD7-CCE9431645EC}">
                        <a14:shadowObscured xmlns:a14="http://schemas.microsoft.com/office/drawing/2010/main"/>
                      </a:ext>
                    </a:extLst>
                  </pic:spPr>
                </pic:pic>
              </a:graphicData>
            </a:graphic>
          </wp:anchor>
        </w:drawing>
      </w:r>
      <w:r w:rsidRPr="00B441A4">
        <w:rPr>
          <w:rFonts w:ascii="Andalus" w:hAnsi="Andalus" w:cs="Andalus"/>
          <w:b/>
          <w:sz w:val="40"/>
          <w:szCs w:val="60"/>
          <w:lang w:val="en-US"/>
        </w:rPr>
        <w:t>Representing Prisoner of W</w:t>
      </w:r>
      <w:r>
        <w:rPr>
          <w:rFonts w:ascii="Andalus" w:hAnsi="Andalus" w:cs="Andalus"/>
          <w:b/>
          <w:sz w:val="40"/>
          <w:szCs w:val="60"/>
          <w:lang w:val="en-US"/>
        </w:rPr>
        <w:t xml:space="preserve">ar </w:t>
      </w:r>
      <w:r w:rsidRPr="00B441A4">
        <w:rPr>
          <w:rFonts w:ascii="Andalus" w:hAnsi="Andalus" w:cs="Andalus"/>
          <w:b/>
          <w:sz w:val="40"/>
          <w:szCs w:val="60"/>
          <w:lang w:val="en-US"/>
        </w:rPr>
        <w:t>Experienc</w:t>
      </w:r>
      <w:r>
        <w:rPr>
          <w:rFonts w:ascii="Andalus" w:hAnsi="Andalus" w:cs="Andalus"/>
          <w:b/>
          <w:sz w:val="40"/>
          <w:szCs w:val="60"/>
          <w:lang w:val="en-US"/>
        </w:rPr>
        <w:t>e</w:t>
      </w:r>
    </w:p>
    <w:p w:rsidR="001B4E3F" w:rsidRDefault="00B441A4" w:rsidP="00B441A4">
      <w:pPr>
        <w:jc w:val="right"/>
        <w:rPr>
          <w:rFonts w:ascii="Andalus" w:hAnsi="Andalus" w:cs="Andalus"/>
          <w:b/>
          <w:sz w:val="40"/>
          <w:szCs w:val="60"/>
          <w:lang w:val="en-US"/>
        </w:rPr>
      </w:pPr>
      <w:r>
        <w:rPr>
          <w:rFonts w:ascii="Andalus" w:hAnsi="Andalus" w:cs="Andalus"/>
          <w:b/>
          <w:sz w:val="40"/>
          <w:szCs w:val="60"/>
          <w:lang w:val="en-US"/>
        </w:rPr>
        <w:t>9 November 2013, University of Warwick</w:t>
      </w:r>
    </w:p>
    <w:p w:rsidR="001B4E3F" w:rsidRDefault="00B441A4" w:rsidP="00B441A4">
      <w:pPr>
        <w:spacing w:line="240" w:lineRule="auto"/>
        <w:jc w:val="center"/>
        <w:rPr>
          <w:rFonts w:cs="Arial"/>
          <w:b/>
          <w:lang w:val="en-US"/>
        </w:rPr>
      </w:pPr>
      <w:r w:rsidRPr="00B441A4">
        <w:rPr>
          <w:rFonts w:cs="Arial"/>
          <w:b/>
          <w:lang w:val="en-US"/>
        </w:rPr>
        <w:t xml:space="preserve">One-day Interdisciplinary Conference </w:t>
      </w:r>
    </w:p>
    <w:p w:rsidR="00B441A4" w:rsidRPr="00B441A4" w:rsidRDefault="00B441A4" w:rsidP="00B441A4">
      <w:pPr>
        <w:spacing w:line="240" w:lineRule="auto"/>
        <w:jc w:val="center"/>
        <w:rPr>
          <w:rFonts w:cs="Arial"/>
          <w:b/>
          <w:lang w:val="en-US"/>
        </w:rPr>
      </w:pPr>
    </w:p>
    <w:p w:rsidR="0017306A" w:rsidRPr="00CF4BB3" w:rsidRDefault="00CF4BB3" w:rsidP="001B4E3F">
      <w:pPr>
        <w:jc w:val="both"/>
      </w:pPr>
      <w:r>
        <w:t>On 9 November 2013</w:t>
      </w:r>
      <w:r w:rsidR="00896898">
        <w:t xml:space="preserve"> the Prisoner of War Network</w:t>
      </w:r>
      <w:r>
        <w:t xml:space="preserve">, </w:t>
      </w:r>
      <w:r w:rsidR="00896898">
        <w:t>in c</w:t>
      </w:r>
      <w:r>
        <w:t>onjunction with the War and Representation Network (WAR-Net), brought</w:t>
      </w:r>
      <w:r w:rsidR="00896898">
        <w:t xml:space="preserve"> together forty academics and researche</w:t>
      </w:r>
      <w:r>
        <w:t>rs</w:t>
      </w:r>
      <w:r w:rsidR="00B441A4">
        <w:t xml:space="preserve"> </w:t>
      </w:r>
      <w:r>
        <w:t>at the University of Warwick</w:t>
      </w:r>
      <w:r w:rsidR="00896898">
        <w:t xml:space="preserve"> to discuss ‘Representations of Prisoner of War Experience’. </w:t>
      </w:r>
      <w:r w:rsidR="009763DB">
        <w:t>Scholars</w:t>
      </w:r>
      <w:r w:rsidR="00896898">
        <w:t xml:space="preserve"> from </w:t>
      </w:r>
      <w:r w:rsidR="00B441A4">
        <w:t xml:space="preserve">across Europe and North America and </w:t>
      </w:r>
      <w:r w:rsidR="00896898">
        <w:t>a wide range of disciplines (including history, film, politics, literature, history of art and archaeology) discussed the fascinating work being do</w:t>
      </w:r>
      <w:r w:rsidR="00414DDC">
        <w:t xml:space="preserve">ne in </w:t>
      </w:r>
      <w:r>
        <w:t>the</w:t>
      </w:r>
      <w:r w:rsidR="00414DDC">
        <w:t xml:space="preserve"> </w:t>
      </w:r>
      <w:r>
        <w:t>emergent</w:t>
      </w:r>
      <w:r w:rsidR="00414DDC">
        <w:t xml:space="preserve"> field of prisoner of war studies,</w:t>
      </w:r>
      <w:r w:rsidR="00896898">
        <w:t xml:space="preserve"> as well as the possible future directions an</w:t>
      </w:r>
      <w:r w:rsidR="009763DB">
        <w:t>d challenges for such research</w:t>
      </w:r>
      <w:r w:rsidR="00896898">
        <w:t xml:space="preserve">. </w:t>
      </w:r>
      <w:r w:rsidR="00414DDC">
        <w:t xml:space="preserve"> </w:t>
      </w:r>
      <w:r>
        <w:t>Eighteen</w:t>
      </w:r>
      <w:r w:rsidR="00414DDC">
        <w:t xml:space="preserve"> </w:t>
      </w:r>
      <w:r>
        <w:t>speakers approached the</w:t>
      </w:r>
      <w:r w:rsidR="001B4E3F">
        <w:t xml:space="preserve"> question of the</w:t>
      </w:r>
      <w:r>
        <w:t xml:space="preserve"> </w:t>
      </w:r>
      <w:r w:rsidRPr="009763DB">
        <w:t>representation</w:t>
      </w:r>
      <w:r>
        <w:t xml:space="preserve"> of prisoner of war experience, both by the </w:t>
      </w:r>
      <w:r w:rsidRPr="009763DB">
        <w:rPr>
          <w:i/>
        </w:rPr>
        <w:t>historical actors</w:t>
      </w:r>
      <w:r>
        <w:t xml:space="preserve"> who underwent forced dislocation (captors and captives) and by </w:t>
      </w:r>
      <w:r w:rsidRPr="009763DB">
        <w:rPr>
          <w:i/>
        </w:rPr>
        <w:t>researchers</w:t>
      </w:r>
      <w:r>
        <w:t xml:space="preserve"> themselves. </w:t>
      </w:r>
    </w:p>
    <w:p w:rsidR="001B4E3F" w:rsidRDefault="009763DB" w:rsidP="001B4E3F">
      <w:pPr>
        <w:jc w:val="both"/>
      </w:pPr>
      <w:r>
        <w:t xml:space="preserve">Two keynote lectures brought the idea of representation into further relief. </w:t>
      </w:r>
      <w:r w:rsidR="00414DDC">
        <w:t>Our first keynote speaker, Professor Bob Moore (University of Sheffield), offered a historiographical overview of the discipline in the last twenty years, tracing its roots as something of a ‘Cinderella subject’ to its current expansion and popularity</w:t>
      </w:r>
      <w:r w:rsidR="001B4E3F">
        <w:t xml:space="preserve"> (as evidenced by the conference itself)</w:t>
      </w:r>
      <w:r w:rsidR="00414DDC">
        <w:t xml:space="preserve">. </w:t>
      </w:r>
      <w:r>
        <w:t xml:space="preserve">He stressed the potential in studying conflicts beyond the World Wars, which was demonstrated later in the day by papers </w:t>
      </w:r>
      <w:r w:rsidR="001B4E3F">
        <w:t>on</w:t>
      </w:r>
      <w:r>
        <w:t xml:space="preserve"> captive situations </w:t>
      </w:r>
      <w:r w:rsidR="001B4E3F">
        <w:t>in the ‘Age of Chivalry’, the eighteenth and nineteenth centuries</w:t>
      </w:r>
      <w:r>
        <w:t xml:space="preserve"> </w:t>
      </w:r>
      <w:r w:rsidR="001B4E3F">
        <w:t>and</w:t>
      </w:r>
      <w:r>
        <w:t xml:space="preserve"> post-9/11 internment. Our second speaker, Dr Gilly Carr (University of Cambridge) used her own fieldwork</w:t>
      </w:r>
      <w:r w:rsidR="001B4E3F">
        <w:t>,</w:t>
      </w:r>
      <w:r>
        <w:t xml:space="preserve"> on the material culture produced by civilian internees from the German-occupied Channel Islands</w:t>
      </w:r>
      <w:r w:rsidR="001B4E3F">
        <w:t xml:space="preserve"> during the Second World War,</w:t>
      </w:r>
      <w:r>
        <w:t xml:space="preserve"> to demonstrate the importance of non-written </w:t>
      </w:r>
      <w:r w:rsidR="001B4E3F">
        <w:t>sources to prisoner of war studies. She showed a range of objects crafted by prisoners of war, including kettles made from tins included in Red Cross Parcels and the astounding range of objects that could be fashioned from Players’ Navy Cut cigarette packets.</w:t>
      </w:r>
    </w:p>
    <w:p w:rsidR="009763DB" w:rsidRDefault="009763DB" w:rsidP="001B4E3F">
      <w:pPr>
        <w:jc w:val="both"/>
      </w:pPr>
      <w:r>
        <w:t xml:space="preserve">The conference raised several other important points </w:t>
      </w:r>
      <w:r w:rsidR="009710CF">
        <w:t>for researchers with</w:t>
      </w:r>
      <w:r>
        <w:t xml:space="preserve">in prisoner of war studies. </w:t>
      </w:r>
      <w:r w:rsidR="009710CF">
        <w:t xml:space="preserve">Scholars interrogated the spatial representation of internment, through maps or artistic renderings of camps or internment areas, as well as other source material including oral history and life-writing. They raised further issues about defining the prisoner of war, offering case studies of civilians, non-uniformed fighters and children being held captive in times of war. Delegates also discussed how the expectation (particularly within post-1945 British literature and film) that all prisoners of war attempted to </w:t>
      </w:r>
      <w:r w:rsidR="009710CF" w:rsidRPr="009710CF">
        <w:rPr>
          <w:i/>
        </w:rPr>
        <w:t>escape</w:t>
      </w:r>
      <w:r w:rsidR="009710CF">
        <w:t xml:space="preserve"> captivity clashed with more common stories of boredom and everyday survival</w:t>
      </w:r>
      <w:r w:rsidR="007F2EB3">
        <w:t xml:space="preserve">. Other </w:t>
      </w:r>
      <w:r w:rsidR="001B4E3F">
        <w:t xml:space="preserve">thought-provoking </w:t>
      </w:r>
      <w:r w:rsidR="007F2EB3">
        <w:t xml:space="preserve">topics raised included </w:t>
      </w:r>
      <w:r w:rsidR="001B4E3F">
        <w:t>the</w:t>
      </w:r>
      <w:r w:rsidR="007F2EB3">
        <w:t xml:space="preserve"> g</w:t>
      </w:r>
      <w:r w:rsidR="009710CF">
        <w:t>endered representations of captivity during and after internment, the moral duties of the prisoner of war, violence</w:t>
      </w:r>
      <w:r w:rsidR="007F2EB3">
        <w:t xml:space="preserve"> and exploitation, </w:t>
      </w:r>
      <w:r w:rsidR="001B4E3F">
        <w:t xml:space="preserve">the importance of ‘reciprocity’ in early modern and modern contexts, </w:t>
      </w:r>
      <w:r w:rsidR="007F2EB3">
        <w:t xml:space="preserve">the prevalence of trauma and mental illness </w:t>
      </w:r>
      <w:r w:rsidR="009710CF">
        <w:t xml:space="preserve">among prisoners, ‘creativity behind barbed wire’ and </w:t>
      </w:r>
      <w:r w:rsidR="007F2EB3">
        <w:t xml:space="preserve">the reintegration of prisoners of war into postwar societies. </w:t>
      </w:r>
    </w:p>
    <w:p w:rsidR="00DA44C8" w:rsidRDefault="00CF4BB3" w:rsidP="001B4E3F">
      <w:pPr>
        <w:jc w:val="both"/>
      </w:pPr>
      <w:r>
        <w:t xml:space="preserve">The event was </w:t>
      </w:r>
      <w:r w:rsidR="00B441A4">
        <w:t xml:space="preserve">generously </w:t>
      </w:r>
      <w:r>
        <w:t xml:space="preserve">sponsored by the Warwick History Department, the Humanities Research Centre, the Royal Historical Society, </w:t>
      </w:r>
      <w:proofErr w:type="gramStart"/>
      <w:r>
        <w:t>the</w:t>
      </w:r>
      <w:proofErr w:type="gramEnd"/>
      <w:r>
        <w:t xml:space="preserve"> Centre for the History of Medicine (Warwick) and the </w:t>
      </w:r>
      <w:r>
        <w:lastRenderedPageBreak/>
        <w:t>Warwick Oral History Network (based at the Institute for Advanced Studies).</w:t>
      </w:r>
      <w:r w:rsidR="007F2EB3">
        <w:t xml:space="preserve"> This was the first event of the Prisoner of War Network</w:t>
      </w:r>
      <w:r w:rsidR="00DA44C8">
        <w:t xml:space="preserve"> (</w:t>
      </w:r>
      <w:hyperlink r:id="rId6" w:history="1">
        <w:r w:rsidR="00DA44C8">
          <w:rPr>
            <w:rStyle w:val="Hyperlink"/>
          </w:rPr>
          <w:t>http://powstudiesnetwork.wordpress.com/</w:t>
        </w:r>
      </w:hyperlink>
      <w:r w:rsidR="00DA44C8">
        <w:rPr>
          <w:rStyle w:val="Hyperlink"/>
        </w:rPr>
        <w:t>)</w:t>
      </w:r>
      <w:r w:rsidR="007F2EB3">
        <w:t xml:space="preserve">, </w:t>
      </w:r>
      <w:r>
        <w:t xml:space="preserve">founded Elodie </w:t>
      </w:r>
      <w:proofErr w:type="spellStart"/>
      <w:r w:rsidR="001B4E3F">
        <w:t>Duché</w:t>
      </w:r>
      <w:proofErr w:type="spellEnd"/>
      <w:r>
        <w:t xml:space="preserve"> and Grace Huxford (</w:t>
      </w:r>
      <w:r w:rsidR="001B4E3F">
        <w:t xml:space="preserve">History </w:t>
      </w:r>
      <w:r>
        <w:t>PhD Candidates</w:t>
      </w:r>
      <w:r w:rsidR="001B4E3F">
        <w:t>,</w:t>
      </w:r>
      <w:r>
        <w:t xml:space="preserve"> Warwick) in 2012 to bring </w:t>
      </w:r>
      <w:r w:rsidR="001B4E3F">
        <w:t xml:space="preserve">together </w:t>
      </w:r>
      <w:r>
        <w:t xml:space="preserve">researchers studying prisoners of war and displaced populations. This interdisciplinary network is bilingual (English and French) and has over 50 members from Europe and America. It distributes regular newsletters and hopes to host future events to encourage collaboration on the subject across disciplines and institutions.  </w:t>
      </w:r>
    </w:p>
    <w:p w:rsidR="00B441A4" w:rsidRPr="00DA44C8" w:rsidRDefault="00DA44C8" w:rsidP="001B4E3F">
      <w:pPr>
        <w:jc w:val="both"/>
        <w:rPr>
          <w:b/>
        </w:rPr>
      </w:pPr>
      <w:r>
        <w:rPr>
          <w:b/>
        </w:rPr>
        <w:t xml:space="preserve">Grace Huxford, PhD Candidate, History Department, University of Warwick </w:t>
      </w:r>
    </w:p>
    <w:sectPr w:rsidR="00B441A4" w:rsidRPr="00DA44C8" w:rsidSect="003018B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6898"/>
    <w:rsid w:val="000052C5"/>
    <w:rsid w:val="00013D03"/>
    <w:rsid w:val="0001625A"/>
    <w:rsid w:val="0002741B"/>
    <w:rsid w:val="00051C6C"/>
    <w:rsid w:val="000522AB"/>
    <w:rsid w:val="00083A7F"/>
    <w:rsid w:val="0009355A"/>
    <w:rsid w:val="000958A9"/>
    <w:rsid w:val="00096588"/>
    <w:rsid w:val="000A4CD8"/>
    <w:rsid w:val="000A6F06"/>
    <w:rsid w:val="000B330B"/>
    <w:rsid w:val="000C0DF7"/>
    <w:rsid w:val="000E09B0"/>
    <w:rsid w:val="000E4C5E"/>
    <w:rsid w:val="00112CE8"/>
    <w:rsid w:val="00122B42"/>
    <w:rsid w:val="00123273"/>
    <w:rsid w:val="001252CB"/>
    <w:rsid w:val="00131E69"/>
    <w:rsid w:val="00144B07"/>
    <w:rsid w:val="001466AF"/>
    <w:rsid w:val="001625D7"/>
    <w:rsid w:val="00171820"/>
    <w:rsid w:val="0017306A"/>
    <w:rsid w:val="001738AE"/>
    <w:rsid w:val="00173DFD"/>
    <w:rsid w:val="00187117"/>
    <w:rsid w:val="0018722B"/>
    <w:rsid w:val="001878A8"/>
    <w:rsid w:val="00192275"/>
    <w:rsid w:val="001A1766"/>
    <w:rsid w:val="001A47A9"/>
    <w:rsid w:val="001B4E3F"/>
    <w:rsid w:val="001C3844"/>
    <w:rsid w:val="001D130F"/>
    <w:rsid w:val="001D1F43"/>
    <w:rsid w:val="001F2F10"/>
    <w:rsid w:val="00241A8A"/>
    <w:rsid w:val="00243B11"/>
    <w:rsid w:val="00245932"/>
    <w:rsid w:val="0026037F"/>
    <w:rsid w:val="0027090E"/>
    <w:rsid w:val="00275768"/>
    <w:rsid w:val="00283BF3"/>
    <w:rsid w:val="002A3F5D"/>
    <w:rsid w:val="002A605B"/>
    <w:rsid w:val="002D04BB"/>
    <w:rsid w:val="002D4435"/>
    <w:rsid w:val="002E63EE"/>
    <w:rsid w:val="002F016C"/>
    <w:rsid w:val="002F0D74"/>
    <w:rsid w:val="003018BE"/>
    <w:rsid w:val="003161D7"/>
    <w:rsid w:val="003241C3"/>
    <w:rsid w:val="0033010E"/>
    <w:rsid w:val="00342154"/>
    <w:rsid w:val="00352592"/>
    <w:rsid w:val="003537FA"/>
    <w:rsid w:val="003617AD"/>
    <w:rsid w:val="003651E0"/>
    <w:rsid w:val="003714BC"/>
    <w:rsid w:val="00372DB3"/>
    <w:rsid w:val="003A4A1E"/>
    <w:rsid w:val="003A4E02"/>
    <w:rsid w:val="003D365D"/>
    <w:rsid w:val="003E06D1"/>
    <w:rsid w:val="003E24E9"/>
    <w:rsid w:val="00414DDC"/>
    <w:rsid w:val="00442AE8"/>
    <w:rsid w:val="00446DFB"/>
    <w:rsid w:val="0045618D"/>
    <w:rsid w:val="00456F1A"/>
    <w:rsid w:val="0048109A"/>
    <w:rsid w:val="004827AE"/>
    <w:rsid w:val="004828E2"/>
    <w:rsid w:val="004845CC"/>
    <w:rsid w:val="0049084A"/>
    <w:rsid w:val="00493BD4"/>
    <w:rsid w:val="004A7269"/>
    <w:rsid w:val="004B70EE"/>
    <w:rsid w:val="004C57DC"/>
    <w:rsid w:val="004C6E91"/>
    <w:rsid w:val="004E7EBF"/>
    <w:rsid w:val="00514303"/>
    <w:rsid w:val="0052493E"/>
    <w:rsid w:val="005302DC"/>
    <w:rsid w:val="00555730"/>
    <w:rsid w:val="00556237"/>
    <w:rsid w:val="00574935"/>
    <w:rsid w:val="005779E6"/>
    <w:rsid w:val="0058588F"/>
    <w:rsid w:val="00597B7C"/>
    <w:rsid w:val="005A608C"/>
    <w:rsid w:val="005C29F4"/>
    <w:rsid w:val="005C4F69"/>
    <w:rsid w:val="005D07E3"/>
    <w:rsid w:val="005E0080"/>
    <w:rsid w:val="00614DAA"/>
    <w:rsid w:val="00620E83"/>
    <w:rsid w:val="0063768C"/>
    <w:rsid w:val="0067027E"/>
    <w:rsid w:val="00675011"/>
    <w:rsid w:val="00677799"/>
    <w:rsid w:val="00681C7F"/>
    <w:rsid w:val="00687236"/>
    <w:rsid w:val="00696650"/>
    <w:rsid w:val="006C11E4"/>
    <w:rsid w:val="006D40EB"/>
    <w:rsid w:val="006E7C13"/>
    <w:rsid w:val="006F2A3A"/>
    <w:rsid w:val="007122F4"/>
    <w:rsid w:val="00714108"/>
    <w:rsid w:val="00714D68"/>
    <w:rsid w:val="0071664A"/>
    <w:rsid w:val="007213EC"/>
    <w:rsid w:val="00724DB2"/>
    <w:rsid w:val="00731A32"/>
    <w:rsid w:val="00755A89"/>
    <w:rsid w:val="00793334"/>
    <w:rsid w:val="00793D4C"/>
    <w:rsid w:val="007B0D3C"/>
    <w:rsid w:val="007B17DF"/>
    <w:rsid w:val="007E5BB1"/>
    <w:rsid w:val="007F2EB3"/>
    <w:rsid w:val="00810AAD"/>
    <w:rsid w:val="0082764C"/>
    <w:rsid w:val="00854F63"/>
    <w:rsid w:val="00855A43"/>
    <w:rsid w:val="00871645"/>
    <w:rsid w:val="00871A99"/>
    <w:rsid w:val="00875930"/>
    <w:rsid w:val="0089580E"/>
    <w:rsid w:val="00896898"/>
    <w:rsid w:val="008B0094"/>
    <w:rsid w:val="008B63F8"/>
    <w:rsid w:val="008C3DE4"/>
    <w:rsid w:val="008D1935"/>
    <w:rsid w:val="008D324D"/>
    <w:rsid w:val="008D628D"/>
    <w:rsid w:val="008E3AE7"/>
    <w:rsid w:val="008F5AC9"/>
    <w:rsid w:val="00912AB5"/>
    <w:rsid w:val="00913313"/>
    <w:rsid w:val="009151D7"/>
    <w:rsid w:val="009357CA"/>
    <w:rsid w:val="009364CD"/>
    <w:rsid w:val="0096698D"/>
    <w:rsid w:val="009710CF"/>
    <w:rsid w:val="009763DB"/>
    <w:rsid w:val="00976AEF"/>
    <w:rsid w:val="009852CA"/>
    <w:rsid w:val="009958B3"/>
    <w:rsid w:val="009C0905"/>
    <w:rsid w:val="009C5A4C"/>
    <w:rsid w:val="009C5DF6"/>
    <w:rsid w:val="009F01E9"/>
    <w:rsid w:val="009F07D1"/>
    <w:rsid w:val="00A07AF1"/>
    <w:rsid w:val="00A43947"/>
    <w:rsid w:val="00A43FB7"/>
    <w:rsid w:val="00A60CD6"/>
    <w:rsid w:val="00A62B1E"/>
    <w:rsid w:val="00A634B1"/>
    <w:rsid w:val="00A6509B"/>
    <w:rsid w:val="00A75531"/>
    <w:rsid w:val="00A85531"/>
    <w:rsid w:val="00A8686C"/>
    <w:rsid w:val="00AA0628"/>
    <w:rsid w:val="00AA106C"/>
    <w:rsid w:val="00AA250F"/>
    <w:rsid w:val="00AA63B4"/>
    <w:rsid w:val="00AB1D40"/>
    <w:rsid w:val="00AB661C"/>
    <w:rsid w:val="00AE15DE"/>
    <w:rsid w:val="00AE20E2"/>
    <w:rsid w:val="00AF6988"/>
    <w:rsid w:val="00B0221E"/>
    <w:rsid w:val="00B203D0"/>
    <w:rsid w:val="00B31721"/>
    <w:rsid w:val="00B441A4"/>
    <w:rsid w:val="00B45056"/>
    <w:rsid w:val="00B5701F"/>
    <w:rsid w:val="00B7549E"/>
    <w:rsid w:val="00B80C35"/>
    <w:rsid w:val="00B84864"/>
    <w:rsid w:val="00BC1274"/>
    <w:rsid w:val="00BD5023"/>
    <w:rsid w:val="00BE10C1"/>
    <w:rsid w:val="00BE6DB5"/>
    <w:rsid w:val="00BF02C6"/>
    <w:rsid w:val="00BF0EB5"/>
    <w:rsid w:val="00BF2BAF"/>
    <w:rsid w:val="00C1576C"/>
    <w:rsid w:val="00C3466C"/>
    <w:rsid w:val="00C44738"/>
    <w:rsid w:val="00C560AE"/>
    <w:rsid w:val="00C577D9"/>
    <w:rsid w:val="00C6683F"/>
    <w:rsid w:val="00C7039C"/>
    <w:rsid w:val="00C90F35"/>
    <w:rsid w:val="00CA225F"/>
    <w:rsid w:val="00CA2DE1"/>
    <w:rsid w:val="00CC1649"/>
    <w:rsid w:val="00CD31C0"/>
    <w:rsid w:val="00CF4BB3"/>
    <w:rsid w:val="00D13BC4"/>
    <w:rsid w:val="00D34150"/>
    <w:rsid w:val="00D3728A"/>
    <w:rsid w:val="00D512A0"/>
    <w:rsid w:val="00D52693"/>
    <w:rsid w:val="00D53975"/>
    <w:rsid w:val="00D55F21"/>
    <w:rsid w:val="00D633EF"/>
    <w:rsid w:val="00D75B44"/>
    <w:rsid w:val="00D76889"/>
    <w:rsid w:val="00DA0219"/>
    <w:rsid w:val="00DA2378"/>
    <w:rsid w:val="00DA44C8"/>
    <w:rsid w:val="00DA4C7D"/>
    <w:rsid w:val="00DC6FA3"/>
    <w:rsid w:val="00DD0254"/>
    <w:rsid w:val="00DD0463"/>
    <w:rsid w:val="00DE00A0"/>
    <w:rsid w:val="00DF18E8"/>
    <w:rsid w:val="00DF6BCA"/>
    <w:rsid w:val="00E00EC9"/>
    <w:rsid w:val="00E0199D"/>
    <w:rsid w:val="00E1552D"/>
    <w:rsid w:val="00E15B09"/>
    <w:rsid w:val="00E24A5C"/>
    <w:rsid w:val="00E26E00"/>
    <w:rsid w:val="00E33CF2"/>
    <w:rsid w:val="00E41498"/>
    <w:rsid w:val="00E46C75"/>
    <w:rsid w:val="00E5504F"/>
    <w:rsid w:val="00E56A5D"/>
    <w:rsid w:val="00E76218"/>
    <w:rsid w:val="00E847D3"/>
    <w:rsid w:val="00EA29DC"/>
    <w:rsid w:val="00EA6413"/>
    <w:rsid w:val="00EB2087"/>
    <w:rsid w:val="00EB7F62"/>
    <w:rsid w:val="00EC047C"/>
    <w:rsid w:val="00EC0B8E"/>
    <w:rsid w:val="00EC19CE"/>
    <w:rsid w:val="00EC2CFA"/>
    <w:rsid w:val="00EE3736"/>
    <w:rsid w:val="00F023F9"/>
    <w:rsid w:val="00F14284"/>
    <w:rsid w:val="00F209FD"/>
    <w:rsid w:val="00F23BDF"/>
    <w:rsid w:val="00F2691F"/>
    <w:rsid w:val="00F279D9"/>
    <w:rsid w:val="00F32C33"/>
    <w:rsid w:val="00F729BB"/>
    <w:rsid w:val="00F80B2B"/>
    <w:rsid w:val="00F81299"/>
    <w:rsid w:val="00F81B31"/>
    <w:rsid w:val="00F965B3"/>
    <w:rsid w:val="00F974C0"/>
    <w:rsid w:val="00FA6E16"/>
    <w:rsid w:val="00FC081B"/>
    <w:rsid w:val="00FE3AE7"/>
    <w:rsid w:val="00FF710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B4E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E3F"/>
    <w:rPr>
      <w:rFonts w:ascii="Tahoma" w:hAnsi="Tahoma" w:cs="Tahoma"/>
      <w:sz w:val="16"/>
      <w:szCs w:val="16"/>
    </w:rPr>
  </w:style>
  <w:style w:type="character" w:styleId="Hyperlink">
    <w:name w:val="Hyperlink"/>
    <w:basedOn w:val="DefaultParagraphFont"/>
    <w:uiPriority w:val="99"/>
    <w:semiHidden/>
    <w:unhideWhenUsed/>
    <w:rsid w:val="00B441A4"/>
    <w:rPr>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GB" w:eastAsia="en-GB"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1B4E3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B4E3F"/>
    <w:rPr>
      <w:rFonts w:ascii="Tahoma" w:hAnsi="Tahoma" w:cs="Tahoma"/>
      <w:sz w:val="16"/>
      <w:szCs w:val="16"/>
    </w:rPr>
  </w:style>
  <w:style w:type="character" w:styleId="Hyperlink">
    <w:name w:val="Hyperlink"/>
    <w:basedOn w:val="DefaultParagraphFont"/>
    <w:uiPriority w:val="99"/>
    <w:semiHidden/>
    <w:unhideWhenUsed/>
    <w:rsid w:val="00B441A4"/>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powstudiesnetwork.wordpress.com/" TargetMode="Externa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1DF8D6CE</Template>
  <TotalTime>1</TotalTime>
  <Pages>2</Pages>
  <Words>607</Words>
  <Characters>3461</Characters>
  <Application>Microsoft Office Word</Application>
  <DocSecurity>4</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4060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Grace</dc:creator>
  <cp:lastModifiedBy>Dibben, Susan</cp:lastModifiedBy>
  <cp:revision>2</cp:revision>
  <dcterms:created xsi:type="dcterms:W3CDTF">2013-11-13T10:34:00Z</dcterms:created>
  <dcterms:modified xsi:type="dcterms:W3CDTF">2013-11-13T10:34:00Z</dcterms:modified>
</cp:coreProperties>
</file>