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158C31" w14:textId="668FE70E" w:rsidR="009733F1" w:rsidRDefault="009733F1" w:rsidP="009733F1">
      <w:pPr>
        <w:spacing w:line="360" w:lineRule="auto"/>
        <w:jc w:val="center"/>
        <w:rPr>
          <w:b/>
        </w:rPr>
      </w:pPr>
      <w:bookmarkStart w:id="0" w:name="_GoBack"/>
      <w:bookmarkEnd w:id="0"/>
      <w:r>
        <w:rPr>
          <w:b/>
        </w:rPr>
        <w:t>REPORT</w:t>
      </w:r>
    </w:p>
    <w:p w14:paraId="397A4D90" w14:textId="77777777" w:rsidR="009733F1" w:rsidRDefault="009733F1" w:rsidP="009733F1">
      <w:pPr>
        <w:spacing w:line="360" w:lineRule="auto"/>
        <w:jc w:val="center"/>
        <w:rPr>
          <w:b/>
        </w:rPr>
      </w:pPr>
      <w:r>
        <w:rPr>
          <w:b/>
        </w:rPr>
        <w:t>‘</w:t>
      </w:r>
      <w:r w:rsidR="00FC66AE" w:rsidRPr="00FC66AE">
        <w:rPr>
          <w:b/>
        </w:rPr>
        <w:t xml:space="preserve">Ruling Climate: The Theory and Practice of Environmental Governmentality, 1500-1800’ </w:t>
      </w:r>
    </w:p>
    <w:p w14:paraId="7506E31F" w14:textId="27F87836" w:rsidR="00FC66AE" w:rsidRDefault="009733F1" w:rsidP="009733F1">
      <w:pPr>
        <w:spacing w:line="360" w:lineRule="auto"/>
        <w:jc w:val="center"/>
        <w:rPr>
          <w:b/>
        </w:rPr>
      </w:pPr>
      <w:r>
        <w:rPr>
          <w:b/>
        </w:rPr>
        <w:t>Warwick, 16 May 2015</w:t>
      </w:r>
    </w:p>
    <w:p w14:paraId="597C1F14" w14:textId="77777777" w:rsidR="009733F1" w:rsidRDefault="009733F1" w:rsidP="0069527D">
      <w:pPr>
        <w:spacing w:line="360" w:lineRule="auto"/>
        <w:jc w:val="both"/>
        <w:rPr>
          <w:b/>
        </w:rPr>
      </w:pPr>
    </w:p>
    <w:p w14:paraId="09C1355C" w14:textId="3A09F23A" w:rsidR="009733F1" w:rsidRDefault="009733F1" w:rsidP="009733F1">
      <w:pPr>
        <w:spacing w:line="360" w:lineRule="auto"/>
        <w:ind w:left="1276"/>
        <w:jc w:val="both"/>
        <w:rPr>
          <w:b/>
        </w:rPr>
      </w:pPr>
      <w:r>
        <w:rPr>
          <w:b/>
          <w:noProof/>
          <w:lang w:eastAsia="en-GB"/>
        </w:rPr>
        <w:drawing>
          <wp:inline distT="0" distB="0" distL="0" distR="0" wp14:anchorId="2A9E7476" wp14:editId="1CE77B04">
            <wp:extent cx="3653725" cy="2383353"/>
            <wp:effectExtent l="0" t="0" r="444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c_poster_image.png"/>
                    <pic:cNvPicPr/>
                  </pic:nvPicPr>
                  <pic:blipFill>
                    <a:blip r:embed="rId4">
                      <a:extLst>
                        <a:ext uri="{28A0092B-C50C-407E-A947-70E740481C1C}">
                          <a14:useLocalDpi xmlns:a14="http://schemas.microsoft.com/office/drawing/2010/main" val="0"/>
                        </a:ext>
                      </a:extLst>
                    </a:blip>
                    <a:stretch>
                      <a:fillRect/>
                    </a:stretch>
                  </pic:blipFill>
                  <pic:spPr>
                    <a:xfrm>
                      <a:off x="0" y="0"/>
                      <a:ext cx="3653725" cy="2383353"/>
                    </a:xfrm>
                    <a:prstGeom prst="rect">
                      <a:avLst/>
                    </a:prstGeom>
                  </pic:spPr>
                </pic:pic>
              </a:graphicData>
            </a:graphic>
          </wp:inline>
        </w:drawing>
      </w:r>
    </w:p>
    <w:p w14:paraId="0D28C493" w14:textId="77777777" w:rsidR="000777DD" w:rsidRDefault="000777DD" w:rsidP="0069527D">
      <w:pPr>
        <w:spacing w:line="360" w:lineRule="auto"/>
        <w:jc w:val="both"/>
        <w:rPr>
          <w:b/>
        </w:rPr>
      </w:pPr>
    </w:p>
    <w:p w14:paraId="30BE4761" w14:textId="7E3B8B66" w:rsidR="00A71162" w:rsidRDefault="00CB251E" w:rsidP="0069527D">
      <w:pPr>
        <w:spacing w:line="360" w:lineRule="auto"/>
        <w:jc w:val="both"/>
      </w:pPr>
      <w:r>
        <w:t xml:space="preserve">How </w:t>
      </w:r>
      <w:r w:rsidR="00D16457">
        <w:t xml:space="preserve">do climate and environment </w:t>
      </w:r>
      <w:r>
        <w:t xml:space="preserve">affect </w:t>
      </w:r>
      <w:r w:rsidR="00FC66AE">
        <w:t>us</w:t>
      </w:r>
      <w:r>
        <w:t>, and what can we do to contrast</w:t>
      </w:r>
      <w:r w:rsidR="00FC66AE">
        <w:t>,</w:t>
      </w:r>
      <w:r>
        <w:t xml:space="preserve"> or exploit</w:t>
      </w:r>
      <w:r w:rsidR="00FC66AE">
        <w:t>,</w:t>
      </w:r>
      <w:r>
        <w:t xml:space="preserve"> </w:t>
      </w:r>
      <w:r w:rsidR="00D16457">
        <w:t>their</w:t>
      </w:r>
      <w:r>
        <w:t xml:space="preserve"> </w:t>
      </w:r>
      <w:r w:rsidR="00FC66AE">
        <w:t>influence</w:t>
      </w:r>
      <w:r>
        <w:t xml:space="preserve">? In the early modern period, this question was </w:t>
      </w:r>
      <w:r w:rsidR="00A71162">
        <w:t>central to</w:t>
      </w:r>
      <w:r>
        <w:t xml:space="preserve"> scientific, </w:t>
      </w:r>
      <w:r w:rsidR="00D55381">
        <w:t>philosophical</w:t>
      </w:r>
      <w:r>
        <w:t xml:space="preserve">, and political inquiry, </w:t>
      </w:r>
      <w:r w:rsidR="00A71162">
        <w:t>pervading</w:t>
      </w:r>
      <w:r>
        <w:t xml:space="preserve"> environmental discourse </w:t>
      </w:r>
      <w:r w:rsidR="00A71162">
        <w:t>and praxis across Europe and the colonies</w:t>
      </w:r>
      <w:r>
        <w:t xml:space="preserve">. The relationship between cultural perceptions of climatic influence and practical attempts at environmental regulation and change, however, is still a largely obscure chapter in the history of Western ecological attitudes. </w:t>
      </w:r>
    </w:p>
    <w:p w14:paraId="5FAC64F3" w14:textId="2BBA13EE" w:rsidR="000D2088" w:rsidRDefault="00CB251E" w:rsidP="0069527D">
      <w:pPr>
        <w:spacing w:line="360" w:lineRule="auto"/>
        <w:jc w:val="both"/>
      </w:pPr>
      <w:r>
        <w:t>O</w:t>
      </w:r>
      <w:r w:rsidR="000D2088">
        <w:t xml:space="preserve">n 16 May 2015, </w:t>
      </w:r>
      <w:r w:rsidR="00063159">
        <w:t>forty researchers from all over Europe and North-America gathered at the University of Warwick to discuss this topic in a global and multi-disciplinary perspective. T</w:t>
      </w:r>
      <w:r w:rsidR="000D2088">
        <w:t xml:space="preserve">he HRC-sponsored conference </w:t>
      </w:r>
      <w:r w:rsidR="0069527D">
        <w:t>‘Ruling Climate: The Theory and Practice of Environmen</w:t>
      </w:r>
      <w:r w:rsidR="00063159">
        <w:t>tal Governmentality, 1500-1800’, organised by Sara Miglietti (Renaissance) and John Morgan (History), brought together environmental historians, intellectual historians, and historians of science to illuminate</w:t>
      </w:r>
      <w:r w:rsidR="000D2088">
        <w:t xml:space="preserve"> the complex interplay between</w:t>
      </w:r>
      <w:r w:rsidR="0069527D">
        <w:t xml:space="preserve"> competing conceptions of climate and their use as tools of governme</w:t>
      </w:r>
      <w:r w:rsidR="000D2088">
        <w:t xml:space="preserve">ntal control and social change in a period of decisive </w:t>
      </w:r>
      <w:r w:rsidR="00FC66AE">
        <w:t xml:space="preserve">cultural </w:t>
      </w:r>
      <w:r w:rsidR="000D2088">
        <w:t xml:space="preserve">and political transformations. </w:t>
      </w:r>
    </w:p>
    <w:p w14:paraId="1C9B56EC" w14:textId="77777777" w:rsidR="00063159" w:rsidRDefault="000D2088" w:rsidP="00D16457">
      <w:pPr>
        <w:spacing w:line="360" w:lineRule="auto"/>
        <w:jc w:val="both"/>
        <w:rPr>
          <w:lang w:val="en-US"/>
        </w:rPr>
      </w:pPr>
      <w:r>
        <w:t xml:space="preserve">The </w:t>
      </w:r>
      <w:r w:rsidR="00A71162">
        <w:t>day</w:t>
      </w:r>
      <w:r>
        <w:t xml:space="preserve"> was divided into two sessions, </w:t>
      </w:r>
      <w:r w:rsidR="00CB251E">
        <w:t xml:space="preserve">one </w:t>
      </w:r>
      <w:r w:rsidR="00A71162">
        <w:t>devoted to</w:t>
      </w:r>
      <w:r w:rsidR="00CB251E">
        <w:t xml:space="preserve"> shifting cultural constructions of climate and nature</w:t>
      </w:r>
      <w:r w:rsidR="00FC66AE">
        <w:t xml:space="preserve"> (‘</w:t>
      </w:r>
      <w:r w:rsidR="00FC66AE" w:rsidRPr="004B44D1">
        <w:rPr>
          <w:lang w:val="en-US"/>
        </w:rPr>
        <w:t>Thinking Environmental Influence in the Early Modern Period</w:t>
      </w:r>
      <w:r w:rsidR="00FC66AE">
        <w:rPr>
          <w:lang w:val="en-US"/>
        </w:rPr>
        <w:t>’</w:t>
      </w:r>
      <w:r w:rsidR="00FC66AE">
        <w:t>)</w:t>
      </w:r>
      <w:r w:rsidR="00D55381">
        <w:t>,</w:t>
      </w:r>
      <w:r w:rsidR="00CB251E">
        <w:t xml:space="preserve"> </w:t>
      </w:r>
      <w:r w:rsidR="00D16457">
        <w:t>while</w:t>
      </w:r>
      <w:r w:rsidR="00CB251E">
        <w:t xml:space="preserve"> the other </w:t>
      </w:r>
      <w:r w:rsidR="00D16457">
        <w:t>focused</w:t>
      </w:r>
      <w:r w:rsidR="00A71162">
        <w:t xml:space="preserve"> on</w:t>
      </w:r>
      <w:r w:rsidR="00CB251E">
        <w:t xml:space="preserve"> practical applications of </w:t>
      </w:r>
      <w:r w:rsidR="00D55381">
        <w:t>climatic</w:t>
      </w:r>
      <w:r w:rsidR="00CB251E">
        <w:t xml:space="preserve"> doctrines in colonial </w:t>
      </w:r>
      <w:r w:rsidR="00CB251E">
        <w:lastRenderedPageBreak/>
        <w:t>contexts</w:t>
      </w:r>
      <w:r w:rsidR="00FC66AE">
        <w:t xml:space="preserve"> (</w:t>
      </w:r>
      <w:r w:rsidR="00FC66AE">
        <w:rPr>
          <w:lang w:val="en-US"/>
        </w:rPr>
        <w:t>‘</w:t>
      </w:r>
      <w:r w:rsidR="00FC66AE" w:rsidRPr="00CB251E">
        <w:rPr>
          <w:lang w:val="en-US"/>
        </w:rPr>
        <w:t>The Empire of Climate: Environmental Management in the Early Modern Period</w:t>
      </w:r>
      <w:r w:rsidR="00FC66AE">
        <w:rPr>
          <w:lang w:val="en-US"/>
        </w:rPr>
        <w:t>’)</w:t>
      </w:r>
      <w:r w:rsidR="00CB251E">
        <w:t xml:space="preserve">. </w:t>
      </w:r>
      <w:r w:rsidR="00D16457">
        <w:t xml:space="preserve">The morning session began with a keynote lecture by Dr Franz Mauelshagen (KWI Essen / Rachel Carson Center, LMU Munich), who </w:t>
      </w:r>
      <w:r w:rsidR="00D16457">
        <w:rPr>
          <w:lang w:val="en-US"/>
        </w:rPr>
        <w:t xml:space="preserve">spoke about the semantic evolution of the term ‘climate’ from Antiquity to the Enlightenment. Challenging existing accounts of the origins of modern climatology, Mauelshagen showed that the crucial enabling factor of the eighteenth-century ‘climatological revolution’ was not so much the availability of new technologies for quantitative measurement, but new conceptualizations of climate emerging from the field of physical geography. </w:t>
      </w:r>
    </w:p>
    <w:p w14:paraId="5B69D5A4" w14:textId="1580A001" w:rsidR="00D16457" w:rsidRDefault="00D16457" w:rsidP="00D16457">
      <w:pPr>
        <w:spacing w:line="360" w:lineRule="auto"/>
        <w:jc w:val="both"/>
        <w:rPr>
          <w:lang w:val="en-US"/>
        </w:rPr>
      </w:pPr>
      <w:r>
        <w:rPr>
          <w:lang w:val="en-US"/>
        </w:rPr>
        <w:t>Further papers explored a range of cultural and intellectual attitudes to climate and its perceived influence on human beings, showing how climate theory could operate as a rhetorical tool in the service of political critique (Spavin), as a contested category for universal history (Henny), or as a conceptual tool for understanding foreign clime</w:t>
      </w:r>
      <w:r w:rsidR="00063159">
        <w:rPr>
          <w:lang w:val="en-US"/>
        </w:rPr>
        <w:t>s and their habitability (Hill). The problematic notion of climatic determinism was also at the centre of</w:t>
      </w:r>
      <w:r>
        <w:rPr>
          <w:lang w:val="en-US"/>
        </w:rPr>
        <w:t xml:space="preserve"> </w:t>
      </w:r>
      <w:r w:rsidR="000777DD">
        <w:rPr>
          <w:lang w:val="en-US"/>
        </w:rPr>
        <w:t xml:space="preserve">a </w:t>
      </w:r>
      <w:r w:rsidR="00E72A0B">
        <w:rPr>
          <w:lang w:val="en-US"/>
        </w:rPr>
        <w:t>fourth</w:t>
      </w:r>
      <w:r w:rsidR="00063159">
        <w:rPr>
          <w:lang w:val="en-US"/>
        </w:rPr>
        <w:t xml:space="preserve"> paper</w:t>
      </w:r>
      <w:r w:rsidR="000777DD">
        <w:rPr>
          <w:lang w:val="en-US"/>
        </w:rPr>
        <w:t xml:space="preserve"> (Cavert)</w:t>
      </w:r>
      <w:r w:rsidR="00E72A0B">
        <w:rPr>
          <w:lang w:val="en-US"/>
        </w:rPr>
        <w:t xml:space="preserve"> that reassessed </w:t>
      </w:r>
      <w:r>
        <w:rPr>
          <w:lang w:val="en-US"/>
        </w:rPr>
        <w:t>current historiographical debates about the impact that the cli</w:t>
      </w:r>
      <w:r w:rsidR="000777DD">
        <w:rPr>
          <w:lang w:val="en-US"/>
        </w:rPr>
        <w:t>matic changes of the so-called ‘Little Ice Age’</w:t>
      </w:r>
      <w:r>
        <w:rPr>
          <w:lang w:val="en-US"/>
        </w:rPr>
        <w:t xml:space="preserve"> had on early modern </w:t>
      </w:r>
      <w:r w:rsidR="000777DD">
        <w:rPr>
          <w:lang w:val="en-US"/>
        </w:rPr>
        <w:t>social praxis</w:t>
      </w:r>
      <w:r>
        <w:rPr>
          <w:lang w:val="en-US"/>
        </w:rPr>
        <w:t>.</w:t>
      </w:r>
      <w:r w:rsidR="00063159">
        <w:rPr>
          <w:lang w:val="en-US"/>
        </w:rPr>
        <w:t xml:space="preserve"> </w:t>
      </w:r>
    </w:p>
    <w:p w14:paraId="272B497A" w14:textId="07A3B1B4" w:rsidR="00D16457" w:rsidRDefault="00063159" w:rsidP="00D16457">
      <w:pPr>
        <w:spacing w:line="360" w:lineRule="auto"/>
        <w:jc w:val="both"/>
        <w:rPr>
          <w:lang w:val="en-US"/>
        </w:rPr>
      </w:pPr>
      <w:r>
        <w:rPr>
          <w:lang w:val="en-US"/>
        </w:rPr>
        <w:t xml:space="preserve">The afternoon session shifted </w:t>
      </w:r>
      <w:r w:rsidR="00567197">
        <w:rPr>
          <w:lang w:val="en-US"/>
        </w:rPr>
        <w:t xml:space="preserve">the </w:t>
      </w:r>
      <w:r>
        <w:rPr>
          <w:lang w:val="en-US"/>
        </w:rPr>
        <w:t xml:space="preserve">focus to practical ways of coping with the perceived influence of climate. In her keynote lecture on climate, diet, and early colonial travel, Professor Rebecca Earle </w:t>
      </w:r>
      <w:r w:rsidR="00567197">
        <w:rPr>
          <w:lang w:val="en-US"/>
        </w:rPr>
        <w:t xml:space="preserve">(History, Warwick) </w:t>
      </w:r>
      <w:r>
        <w:rPr>
          <w:lang w:val="en-US"/>
        </w:rPr>
        <w:t xml:space="preserve">shed light on the importance that early modern men and women attached to food as an antidote to the physical and moral risks entailed </w:t>
      </w:r>
      <w:r w:rsidR="00EE4A55">
        <w:rPr>
          <w:lang w:val="en-US"/>
        </w:rPr>
        <w:t>in any ‘change of climate’. Linking theories to practices, Earle particularly showed how the medical imperative of k</w:t>
      </w:r>
      <w:r>
        <w:rPr>
          <w:lang w:val="en-US"/>
        </w:rPr>
        <w:t>eeping a ‘native diet’ in foreign</w:t>
      </w:r>
      <w:r w:rsidR="00EE4A55">
        <w:rPr>
          <w:lang w:val="en-US"/>
        </w:rPr>
        <w:t xml:space="preserve"> climes affected early modern colonial life and agricultural patterns in the colonies. The intimate link between theories and practices was picked up</w:t>
      </w:r>
      <w:r w:rsidR="000777DD">
        <w:rPr>
          <w:lang w:val="en-US"/>
        </w:rPr>
        <w:t xml:space="preserve"> again</w:t>
      </w:r>
      <w:r w:rsidR="00EE4A55">
        <w:rPr>
          <w:lang w:val="en-US"/>
        </w:rPr>
        <w:t xml:space="preserve"> in </w:t>
      </w:r>
      <w:r w:rsidR="000777DD">
        <w:rPr>
          <w:lang w:val="en-US"/>
        </w:rPr>
        <w:t>subsequent</w:t>
      </w:r>
      <w:r w:rsidR="00EE4A55">
        <w:rPr>
          <w:lang w:val="en-US"/>
        </w:rPr>
        <w:t xml:space="preserve"> papers, </w:t>
      </w:r>
      <w:r w:rsidR="000777DD">
        <w:rPr>
          <w:lang w:val="en-US"/>
        </w:rPr>
        <w:t>as they</w:t>
      </w:r>
      <w:r w:rsidR="00EE4A55">
        <w:rPr>
          <w:lang w:val="en-US"/>
        </w:rPr>
        <w:t xml:space="preserve"> investigated marshland drainage projects in seventeenth-century France (Morera), the genesis of proto-conservationist forms of water management in northern England (Skelton), and the relationship between </w:t>
      </w:r>
      <w:r w:rsidR="009757A9">
        <w:rPr>
          <w:lang w:val="en-US"/>
        </w:rPr>
        <w:t xml:space="preserve">yellow fever epidemics, miasmatic theory, and </w:t>
      </w:r>
      <w:r w:rsidR="00EE4A55">
        <w:rPr>
          <w:lang w:val="en-US"/>
        </w:rPr>
        <w:t xml:space="preserve">wetland </w:t>
      </w:r>
      <w:r w:rsidR="009757A9">
        <w:rPr>
          <w:lang w:val="en-US"/>
        </w:rPr>
        <w:t xml:space="preserve">management in the United States </w:t>
      </w:r>
      <w:r w:rsidR="000777DD">
        <w:rPr>
          <w:lang w:val="en-US"/>
        </w:rPr>
        <w:t>towards the end of the</w:t>
      </w:r>
      <w:r w:rsidR="009757A9">
        <w:rPr>
          <w:lang w:val="en-US"/>
        </w:rPr>
        <w:t xml:space="preserve"> eighteenth century</w:t>
      </w:r>
      <w:r w:rsidR="00AC6DA5">
        <w:rPr>
          <w:lang w:val="en-US"/>
        </w:rPr>
        <w:t xml:space="preserve"> (Carlson)</w:t>
      </w:r>
      <w:r w:rsidR="009757A9">
        <w:rPr>
          <w:lang w:val="en-US"/>
        </w:rPr>
        <w:t xml:space="preserve">. </w:t>
      </w:r>
    </w:p>
    <w:p w14:paraId="59FC7E09" w14:textId="77777777" w:rsidR="00577190" w:rsidRDefault="000777DD" w:rsidP="00D16457">
      <w:pPr>
        <w:spacing w:line="360" w:lineRule="auto"/>
        <w:jc w:val="both"/>
      </w:pPr>
      <w:r>
        <w:t>Through fruitful multi-disciplinary discussion, ‘Ruling Climate’ was able to shed new light on key aspects of early modern environmental attitudes,</w:t>
      </w:r>
      <w:r w:rsidR="009757A9">
        <w:t xml:space="preserve"> including </w:t>
      </w:r>
      <w:r w:rsidR="00D16457">
        <w:t xml:space="preserve">the coexistence of multiple (and sometimes competing) climatological models within early modern thought; the tight relationship of the latter with an ancient tradition of climate theories; the inaccuracy of the label of ‘climatic determinism’ often used to characterise such theories; and the crucial importance of the notion of vulnerability (of man with respect </w:t>
      </w:r>
      <w:r w:rsidR="00D16457">
        <w:lastRenderedPageBreak/>
        <w:t>to climate, but als</w:t>
      </w:r>
      <w:r>
        <w:t>o of climate with respect to man) for early modern environmental thought.</w:t>
      </w:r>
      <w:r w:rsidR="00D16457">
        <w:t xml:space="preserve"> </w:t>
      </w:r>
    </w:p>
    <w:p w14:paraId="3D8D8C02" w14:textId="02288796" w:rsidR="000777DD" w:rsidRDefault="00577190" w:rsidP="00D16457">
      <w:pPr>
        <w:spacing w:line="360" w:lineRule="auto"/>
        <w:jc w:val="both"/>
      </w:pPr>
      <w:r>
        <w:t xml:space="preserve">The conference was extremely well attended and live tweeting was provided throughout the day (a permanent tweet </w:t>
      </w:r>
      <w:r w:rsidR="009733F1">
        <w:t xml:space="preserve">and photo </w:t>
      </w:r>
      <w:r>
        <w:t xml:space="preserve">archive is available at </w:t>
      </w:r>
      <w:hyperlink r:id="rId5" w:history="1">
        <w:r w:rsidRPr="001D659A">
          <w:rPr>
            <w:rStyle w:val="Hyperlink"/>
          </w:rPr>
          <w:t>http://t.co/TDVjX4vYYp</w:t>
        </w:r>
      </w:hyperlink>
      <w:r>
        <w:t xml:space="preserve">). </w:t>
      </w:r>
      <w:r w:rsidR="000777DD">
        <w:t xml:space="preserve">The proceedings of the conference </w:t>
      </w:r>
      <w:r>
        <w:t>are expected</w:t>
      </w:r>
      <w:r w:rsidR="000777DD">
        <w:t xml:space="preserve"> for publication in </w:t>
      </w:r>
      <w:r>
        <w:t>2016.</w:t>
      </w:r>
      <w:r w:rsidR="000777DD">
        <w:t xml:space="preserve"> The organisers would like to acknowledge the generous support of Warwick’s Humanities Research Centre, the Centre for the Study of the Renaissance, the Research Student Skills Programme, and the British Society for the History of Science.</w:t>
      </w:r>
      <w:r>
        <w:t xml:space="preserve">  </w:t>
      </w:r>
    </w:p>
    <w:p w14:paraId="65A048A3" w14:textId="77777777" w:rsidR="000777DD" w:rsidRDefault="000777DD" w:rsidP="00D16457">
      <w:pPr>
        <w:spacing w:line="360" w:lineRule="auto"/>
        <w:jc w:val="both"/>
      </w:pPr>
      <w:r>
        <w:tab/>
      </w:r>
    </w:p>
    <w:p w14:paraId="33A2C475" w14:textId="705673C0" w:rsidR="000777DD" w:rsidRDefault="000777DD" w:rsidP="000777DD">
      <w:pPr>
        <w:spacing w:line="360" w:lineRule="auto"/>
        <w:ind w:firstLine="720"/>
        <w:jc w:val="both"/>
      </w:pPr>
      <w:r>
        <w:t>By Sara Miglietti (Renaissance, Warwick)</w:t>
      </w:r>
      <w:r w:rsidR="00AB3C90">
        <w:t>, John Morgan (History, Warwick)</w:t>
      </w:r>
    </w:p>
    <w:p w14:paraId="129F6E41" w14:textId="77777777" w:rsidR="000D2088" w:rsidRDefault="000D2088" w:rsidP="0069527D">
      <w:pPr>
        <w:spacing w:line="360" w:lineRule="auto"/>
        <w:jc w:val="both"/>
      </w:pPr>
    </w:p>
    <w:p w14:paraId="09556DFC" w14:textId="77777777" w:rsidR="000D2088" w:rsidRDefault="000D2088" w:rsidP="0069527D">
      <w:pPr>
        <w:spacing w:line="360" w:lineRule="auto"/>
        <w:jc w:val="both"/>
      </w:pPr>
    </w:p>
    <w:p w14:paraId="2D692321" w14:textId="77777777" w:rsidR="000D2088" w:rsidRDefault="000D2088" w:rsidP="0069527D">
      <w:pPr>
        <w:spacing w:line="360" w:lineRule="auto"/>
        <w:jc w:val="both"/>
      </w:pPr>
    </w:p>
    <w:p w14:paraId="357586E0" w14:textId="77777777" w:rsidR="000D2088" w:rsidRDefault="000D2088" w:rsidP="0069527D">
      <w:pPr>
        <w:spacing w:line="360" w:lineRule="auto"/>
        <w:jc w:val="both"/>
      </w:pPr>
    </w:p>
    <w:p w14:paraId="78C409B3" w14:textId="77777777" w:rsidR="00F83754" w:rsidRDefault="00F83754"/>
    <w:sectPr w:rsidR="00F83754" w:rsidSect="00F83754">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527D"/>
    <w:rsid w:val="00063159"/>
    <w:rsid w:val="000777DD"/>
    <w:rsid w:val="000B6C17"/>
    <w:rsid w:val="000D2088"/>
    <w:rsid w:val="004A239C"/>
    <w:rsid w:val="00567197"/>
    <w:rsid w:val="00577190"/>
    <w:rsid w:val="006062A8"/>
    <w:rsid w:val="00682455"/>
    <w:rsid w:val="0069527D"/>
    <w:rsid w:val="006A1AEC"/>
    <w:rsid w:val="009733F1"/>
    <w:rsid w:val="009757A9"/>
    <w:rsid w:val="009B5B71"/>
    <w:rsid w:val="00A71162"/>
    <w:rsid w:val="00AB3C90"/>
    <w:rsid w:val="00AC6DA5"/>
    <w:rsid w:val="00AE0D98"/>
    <w:rsid w:val="00AE2721"/>
    <w:rsid w:val="00BA4223"/>
    <w:rsid w:val="00CB251E"/>
    <w:rsid w:val="00D12E7C"/>
    <w:rsid w:val="00D16457"/>
    <w:rsid w:val="00D2336E"/>
    <w:rsid w:val="00D43EBD"/>
    <w:rsid w:val="00D55381"/>
    <w:rsid w:val="00DD0547"/>
    <w:rsid w:val="00E72A0B"/>
    <w:rsid w:val="00EE4A55"/>
    <w:rsid w:val="00F83754"/>
    <w:rsid w:val="00FC66A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8354C4"/>
  <w14:defaultImageDpi w14:val="300"/>
  <w15:docId w15:val="{FB65973B-4B64-47D2-8F8B-B9EC26350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527D"/>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77190"/>
    <w:rPr>
      <w:color w:val="0000FF" w:themeColor="hyperlink"/>
      <w:u w:val="single"/>
    </w:rPr>
  </w:style>
  <w:style w:type="character" w:styleId="FollowedHyperlink">
    <w:name w:val="FollowedHyperlink"/>
    <w:basedOn w:val="DefaultParagraphFont"/>
    <w:uiPriority w:val="99"/>
    <w:semiHidden/>
    <w:unhideWhenUsed/>
    <w:rsid w:val="00577190"/>
    <w:rPr>
      <w:color w:val="800080" w:themeColor="followedHyperlink"/>
      <w:u w:val="single"/>
    </w:rPr>
  </w:style>
  <w:style w:type="paragraph" w:styleId="BalloonText">
    <w:name w:val="Balloon Text"/>
    <w:basedOn w:val="Normal"/>
    <w:link w:val="BalloonTextChar"/>
    <w:uiPriority w:val="99"/>
    <w:semiHidden/>
    <w:unhideWhenUsed/>
    <w:rsid w:val="009733F1"/>
    <w:pPr>
      <w:spacing w:after="0"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9733F1"/>
    <w:rPr>
      <w:rFonts w:ascii="Lucida Grande" w:eastAsiaTheme="minorHAnsi"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t.co/TDVjX4vYYp"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1535AF8A</Template>
  <TotalTime>1</TotalTime>
  <Pages>3</Pages>
  <Words>760</Words>
  <Characters>4336</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Miglietti</dc:creator>
  <cp:keywords/>
  <dc:description/>
  <cp:lastModifiedBy>Dibben, Sue</cp:lastModifiedBy>
  <cp:revision>2</cp:revision>
  <dcterms:created xsi:type="dcterms:W3CDTF">2015-06-03T09:01:00Z</dcterms:created>
  <dcterms:modified xsi:type="dcterms:W3CDTF">2015-06-03T09:01:00Z</dcterms:modified>
</cp:coreProperties>
</file>