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59A93B" w14:textId="7F343ADE" w:rsidR="00150A36" w:rsidRPr="00150A36" w:rsidRDefault="00150A36" w:rsidP="00150A36">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150A36">
        <w:rPr>
          <w:rFonts w:ascii="Times New Roman" w:eastAsia="Times New Roman" w:hAnsi="Times New Roman" w:cs="Times New Roman"/>
          <w:color w:val="000000"/>
          <w:kern w:val="0"/>
          <w:lang w:val="en-US" w:eastAsia="it-IT"/>
          <w14:ligatures w14:val="none"/>
        </w:rPr>
        <w:t>The conference </w:t>
      </w:r>
      <w:r w:rsidRPr="4970015E">
        <w:rPr>
          <w:rFonts w:ascii="Times New Roman" w:eastAsia="Times New Roman" w:hAnsi="Times New Roman" w:cs="Times New Roman"/>
          <w:i/>
          <w:iCs/>
          <w:color w:val="000000"/>
          <w:kern w:val="0"/>
          <w:lang w:val="en-US" w:eastAsia="it-IT"/>
          <w14:ligatures w14:val="none"/>
        </w:rPr>
        <w:t>Speaking with the Dead: Italy and the Legacy of the Past in the Revolving Century (1750-1850)</w:t>
      </w:r>
      <w:r w:rsidRPr="00150A36">
        <w:rPr>
          <w:rFonts w:ascii="Times New Roman" w:eastAsia="Times New Roman" w:hAnsi="Times New Roman" w:cs="Times New Roman"/>
          <w:color w:val="000000"/>
          <w:kern w:val="0"/>
          <w:lang w:val="en-US" w:eastAsia="it-IT"/>
          <w14:ligatures w14:val="none"/>
        </w:rPr>
        <w:t>, held at the University of Warwick on September 26-27, 202</w:t>
      </w:r>
      <w:r>
        <w:rPr>
          <w:rFonts w:ascii="Times New Roman" w:eastAsia="Times New Roman" w:hAnsi="Times New Roman" w:cs="Times New Roman"/>
          <w:color w:val="000000"/>
          <w:kern w:val="0"/>
          <w:lang w:val="en-US" w:eastAsia="it-IT"/>
          <w14:ligatures w14:val="none"/>
        </w:rPr>
        <w:t>4</w:t>
      </w:r>
      <w:r w:rsidRPr="00150A36">
        <w:rPr>
          <w:rFonts w:ascii="Times New Roman" w:eastAsia="Times New Roman" w:hAnsi="Times New Roman" w:cs="Times New Roman"/>
          <w:color w:val="000000"/>
          <w:kern w:val="0"/>
          <w:lang w:val="en-US" w:eastAsia="it-IT"/>
          <w14:ligatures w14:val="none"/>
        </w:rPr>
        <w:t xml:space="preserve">, brought together scholars to explore how Italian literature and culture engaged with the legacy of the past, particularly through themes of death and memory. The discussions centered on the ways in which Italy’s cultural and literary heritage from the </w:t>
      </w:r>
      <w:r>
        <w:rPr>
          <w:rFonts w:ascii="Times New Roman" w:eastAsia="Times New Roman" w:hAnsi="Times New Roman" w:cs="Times New Roman"/>
          <w:color w:val="000000"/>
          <w:kern w:val="0"/>
          <w:lang w:val="en-US" w:eastAsia="it-IT"/>
          <w14:ligatures w14:val="none"/>
        </w:rPr>
        <w:t>eighteen</w:t>
      </w:r>
      <w:r w:rsidRPr="00150A36">
        <w:rPr>
          <w:rFonts w:ascii="Times New Roman" w:eastAsia="Times New Roman" w:hAnsi="Times New Roman" w:cs="Times New Roman"/>
          <w:color w:val="000000"/>
          <w:kern w:val="0"/>
          <w:lang w:val="en-US" w:eastAsia="it-IT"/>
          <w14:ligatures w14:val="none"/>
        </w:rPr>
        <w:t xml:space="preserve">th and </w:t>
      </w:r>
      <w:r>
        <w:rPr>
          <w:rFonts w:ascii="Times New Roman" w:eastAsia="Times New Roman" w:hAnsi="Times New Roman" w:cs="Times New Roman"/>
          <w:color w:val="000000"/>
          <w:kern w:val="0"/>
          <w:lang w:val="en-US" w:eastAsia="it-IT"/>
          <w14:ligatures w14:val="none"/>
        </w:rPr>
        <w:t>nineteen</w:t>
      </w:r>
      <w:r w:rsidRPr="00150A36">
        <w:rPr>
          <w:rFonts w:ascii="Times New Roman" w:eastAsia="Times New Roman" w:hAnsi="Times New Roman" w:cs="Times New Roman"/>
          <w:color w:val="000000"/>
          <w:kern w:val="0"/>
          <w:lang w:val="en-US" w:eastAsia="it-IT"/>
          <w14:ligatures w14:val="none"/>
        </w:rPr>
        <w:t>th centuries dealt with the metaphorical and literal dead, highlighting the enduring influence of the past on modern identities.</w:t>
      </w:r>
    </w:p>
    <w:p w14:paraId="2520B48F" w14:textId="6B867184" w:rsidR="4970015E" w:rsidRDefault="4970015E" w:rsidP="4970015E">
      <w:pPr>
        <w:spacing w:beforeAutospacing="1" w:afterAutospacing="1" w:line="276" w:lineRule="auto"/>
        <w:jc w:val="both"/>
        <w:outlineLvl w:val="2"/>
        <w:rPr>
          <w:rFonts w:ascii="Times New Roman" w:eastAsia="Times New Roman" w:hAnsi="Times New Roman" w:cs="Times New Roman"/>
          <w:b/>
          <w:bCs/>
          <w:color w:val="000000" w:themeColor="text1"/>
          <w:lang w:val="en-US" w:eastAsia="it-IT"/>
        </w:rPr>
      </w:pPr>
    </w:p>
    <w:p w14:paraId="4BBE1261" w14:textId="77777777" w:rsidR="00150A36" w:rsidRPr="00150A36" w:rsidRDefault="00150A36" w:rsidP="00150A36">
      <w:pPr>
        <w:spacing w:before="100" w:beforeAutospacing="1" w:after="100" w:afterAutospacing="1" w:line="276" w:lineRule="auto"/>
        <w:jc w:val="both"/>
        <w:outlineLvl w:val="2"/>
        <w:rPr>
          <w:rFonts w:ascii="Times New Roman" w:eastAsia="Times New Roman" w:hAnsi="Times New Roman" w:cs="Times New Roman"/>
          <w:b/>
          <w:bCs/>
          <w:color w:val="000000"/>
          <w:kern w:val="0"/>
          <w:lang w:val="en-US" w:eastAsia="it-IT"/>
          <w14:ligatures w14:val="none"/>
        </w:rPr>
      </w:pPr>
      <w:r w:rsidRPr="00150A36">
        <w:rPr>
          <w:rFonts w:ascii="Times New Roman" w:eastAsia="Times New Roman" w:hAnsi="Times New Roman" w:cs="Times New Roman"/>
          <w:b/>
          <w:bCs/>
          <w:color w:val="000000"/>
          <w:kern w:val="0"/>
          <w:lang w:val="en-US" w:eastAsia="it-IT"/>
          <w14:ligatures w14:val="none"/>
        </w:rPr>
        <w:t>Day 1 - September 26</w:t>
      </w:r>
    </w:p>
    <w:p w14:paraId="55D3EAD4" w14:textId="6332B3E9" w:rsidR="00150A36" w:rsidRPr="00150A36" w:rsidRDefault="00150A36" w:rsidP="00150A36">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150A36">
        <w:rPr>
          <w:rFonts w:ascii="Times New Roman" w:eastAsia="Times New Roman" w:hAnsi="Times New Roman" w:cs="Times New Roman"/>
          <w:color w:val="000000"/>
          <w:kern w:val="0"/>
          <w:lang w:val="en-US" w:eastAsia="it-IT"/>
          <w14:ligatures w14:val="none"/>
        </w:rPr>
        <w:t>The first day opened with a paper by </w:t>
      </w:r>
      <w:r w:rsidRPr="00150A36">
        <w:rPr>
          <w:rFonts w:ascii="Times New Roman" w:eastAsia="Times New Roman" w:hAnsi="Times New Roman" w:cs="Times New Roman"/>
          <w:b/>
          <w:bCs/>
          <w:color w:val="000000"/>
          <w:kern w:val="0"/>
          <w:lang w:val="en-US" w:eastAsia="it-IT"/>
          <w14:ligatures w14:val="none"/>
        </w:rPr>
        <w:t>Gennaro Ambrosino</w:t>
      </w:r>
      <w:r w:rsidRPr="00150A36">
        <w:rPr>
          <w:rFonts w:ascii="Times New Roman" w:eastAsia="Times New Roman" w:hAnsi="Times New Roman" w:cs="Times New Roman"/>
          <w:color w:val="000000"/>
          <w:kern w:val="0"/>
          <w:lang w:val="en-US" w:eastAsia="it-IT"/>
          <w14:ligatures w14:val="none"/>
        </w:rPr>
        <w:t> (Warwick), titled </w:t>
      </w:r>
      <w:r w:rsidRPr="00150A36">
        <w:rPr>
          <w:rFonts w:ascii="Times New Roman" w:eastAsia="Times New Roman" w:hAnsi="Times New Roman" w:cs="Times New Roman"/>
          <w:i/>
          <w:iCs/>
          <w:color w:val="000000"/>
          <w:kern w:val="0"/>
          <w:lang w:val="en-US" w:eastAsia="it-IT"/>
          <w14:ligatures w14:val="none"/>
        </w:rPr>
        <w:t>In Dialogue with Tradition</w:t>
      </w:r>
      <w:r>
        <w:rPr>
          <w:rFonts w:ascii="Times New Roman" w:eastAsia="Times New Roman" w:hAnsi="Times New Roman" w:cs="Times New Roman"/>
          <w:i/>
          <w:iCs/>
          <w:color w:val="000000"/>
          <w:kern w:val="0"/>
          <w:lang w:val="en-US" w:eastAsia="it-IT"/>
          <w14:ligatures w14:val="none"/>
        </w:rPr>
        <w:t>: Dante,</w:t>
      </w:r>
      <w:r w:rsidRPr="00150A36">
        <w:rPr>
          <w:rFonts w:ascii="Times New Roman" w:eastAsia="Times New Roman" w:hAnsi="Times New Roman" w:cs="Times New Roman"/>
          <w:i/>
          <w:iCs/>
          <w:color w:val="000000"/>
          <w:kern w:val="0"/>
          <w:lang w:val="en-US" w:eastAsia="it-IT"/>
          <w14:ligatures w14:val="none"/>
        </w:rPr>
        <w:t xml:space="preserve"> Pliny and the Reconstruction of a Buried Past in the Vesuvian Literature during the Revolving Century</w:t>
      </w:r>
      <w:r w:rsidRPr="00150A36">
        <w:rPr>
          <w:rFonts w:ascii="Times New Roman" w:eastAsia="Times New Roman" w:hAnsi="Times New Roman" w:cs="Times New Roman"/>
          <w:color w:val="000000"/>
          <w:kern w:val="0"/>
          <w:lang w:val="en-US" w:eastAsia="it-IT"/>
          <w14:ligatures w14:val="none"/>
        </w:rPr>
        <w:t>. Ambrosino explored how authors of the time invoked figures like Dante and Pliny in their attempts to reconstruct the buried past of cities such as Pompeii and Herculaneum. His analysis showed how these literary engagements with Italy’s ancient past, both literally and metaphorically, helped shape contemporary cultural identity, as writers drew on this heritage to navigate their own turbulent historical context.</w:t>
      </w:r>
    </w:p>
    <w:p w14:paraId="3DE4ADD1" w14:textId="77777777" w:rsidR="00150A36" w:rsidRPr="00150A36" w:rsidRDefault="00150A36" w:rsidP="00150A36">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150A36">
        <w:rPr>
          <w:rFonts w:ascii="Times New Roman" w:eastAsia="Times New Roman" w:hAnsi="Times New Roman" w:cs="Times New Roman"/>
          <w:color w:val="000000"/>
          <w:kern w:val="0"/>
          <w:lang w:val="en-US" w:eastAsia="it-IT"/>
          <w14:ligatures w14:val="none"/>
        </w:rPr>
        <w:t>Next, </w:t>
      </w:r>
      <w:r w:rsidRPr="00150A36">
        <w:rPr>
          <w:rFonts w:ascii="Times New Roman" w:eastAsia="Times New Roman" w:hAnsi="Times New Roman" w:cs="Times New Roman"/>
          <w:b/>
          <w:bCs/>
          <w:color w:val="000000"/>
          <w:kern w:val="0"/>
          <w:lang w:val="en-US" w:eastAsia="it-IT"/>
          <w14:ligatures w14:val="none"/>
        </w:rPr>
        <w:t>Morena Corradi</w:t>
      </w:r>
      <w:r w:rsidRPr="00150A36">
        <w:rPr>
          <w:rFonts w:ascii="Times New Roman" w:eastAsia="Times New Roman" w:hAnsi="Times New Roman" w:cs="Times New Roman"/>
          <w:color w:val="000000"/>
          <w:kern w:val="0"/>
          <w:lang w:val="en-US" w:eastAsia="it-IT"/>
          <w14:ligatures w14:val="none"/>
        </w:rPr>
        <w:t> (CUNY) presented </w:t>
      </w:r>
      <w:r w:rsidRPr="00150A36">
        <w:rPr>
          <w:rFonts w:ascii="Times New Roman" w:eastAsia="Times New Roman" w:hAnsi="Times New Roman" w:cs="Times New Roman"/>
          <w:i/>
          <w:iCs/>
          <w:color w:val="000000"/>
          <w:kern w:val="0"/>
          <w:lang w:val="en-US" w:eastAsia="it-IT"/>
          <w14:ligatures w14:val="none"/>
        </w:rPr>
        <w:t>Dead who are not really Dead: a Rereading of the Classicist/Romantic Debate</w:t>
      </w:r>
      <w:r w:rsidRPr="00150A36">
        <w:rPr>
          <w:rFonts w:ascii="Times New Roman" w:eastAsia="Times New Roman" w:hAnsi="Times New Roman" w:cs="Times New Roman"/>
          <w:color w:val="000000"/>
          <w:kern w:val="0"/>
          <w:lang w:val="en-US" w:eastAsia="it-IT"/>
          <w14:ligatures w14:val="none"/>
        </w:rPr>
        <w:t>. Corradi reconsidered the traditional opposition between Classicism and Romanticism, revealing the continued presence of Classical ideas in the Romantic era. Through an analysis of the short-lived periodical </w:t>
      </w:r>
      <w:r w:rsidRPr="00150A36">
        <w:rPr>
          <w:rFonts w:ascii="Times New Roman" w:eastAsia="Times New Roman" w:hAnsi="Times New Roman" w:cs="Times New Roman"/>
          <w:i/>
          <w:iCs/>
          <w:color w:val="000000"/>
          <w:kern w:val="0"/>
          <w:lang w:val="en-US" w:eastAsia="it-IT"/>
          <w14:ligatures w14:val="none"/>
        </w:rPr>
        <w:t>Il Conciliatore</w:t>
      </w:r>
      <w:r w:rsidRPr="00150A36">
        <w:rPr>
          <w:rFonts w:ascii="Times New Roman" w:eastAsia="Times New Roman" w:hAnsi="Times New Roman" w:cs="Times New Roman"/>
          <w:color w:val="000000"/>
          <w:kern w:val="0"/>
          <w:lang w:val="en-US" w:eastAsia="it-IT"/>
          <w14:ligatures w14:val="none"/>
        </w:rPr>
        <w:t>, she demonstrated how, even as Romanticism sought to break away from the past, it was still haunted by it. The metaphors of awakening and revival during the Risorgimento, for instance, showed how Italy’s past was continually being reinterpreted in the service of modern political and cultural goals.</w:t>
      </w:r>
    </w:p>
    <w:p w14:paraId="08ED0CDC" w14:textId="5FC6FD2F" w:rsidR="00150A36" w:rsidRPr="00150A36" w:rsidRDefault="00150A36" w:rsidP="00150A36">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150A36">
        <w:rPr>
          <w:rFonts w:ascii="Times New Roman" w:eastAsia="Times New Roman" w:hAnsi="Times New Roman" w:cs="Times New Roman"/>
          <w:color w:val="000000"/>
          <w:kern w:val="0"/>
          <w:lang w:val="en-US" w:eastAsia="it-IT"/>
          <w14:ligatures w14:val="none"/>
        </w:rPr>
        <w:t>After a coffee break, </w:t>
      </w:r>
      <w:r w:rsidRPr="00150A36">
        <w:rPr>
          <w:rFonts w:ascii="Times New Roman" w:eastAsia="Times New Roman" w:hAnsi="Times New Roman" w:cs="Times New Roman"/>
          <w:b/>
          <w:bCs/>
          <w:color w:val="000000"/>
          <w:kern w:val="0"/>
          <w:lang w:val="en-US" w:eastAsia="it-IT"/>
          <w14:ligatures w14:val="none"/>
        </w:rPr>
        <w:t>Sabrina Ferri</w:t>
      </w:r>
      <w:r>
        <w:rPr>
          <w:rFonts w:ascii="Times New Roman" w:eastAsia="Times New Roman" w:hAnsi="Times New Roman" w:cs="Times New Roman"/>
          <w:color w:val="000000"/>
          <w:kern w:val="0"/>
          <w:lang w:val="en-US" w:eastAsia="it-IT"/>
          <w14:ligatures w14:val="none"/>
        </w:rPr>
        <w:t xml:space="preserve"> </w:t>
      </w:r>
      <w:r w:rsidRPr="00150A36">
        <w:rPr>
          <w:rFonts w:ascii="Times New Roman" w:eastAsia="Times New Roman" w:hAnsi="Times New Roman" w:cs="Times New Roman"/>
          <w:color w:val="000000"/>
          <w:kern w:val="0"/>
          <w:lang w:val="en-US" w:eastAsia="it-IT"/>
          <w14:ligatures w14:val="none"/>
        </w:rPr>
        <w:t>presented her paper </w:t>
      </w:r>
      <w:r w:rsidRPr="00150A36">
        <w:rPr>
          <w:rFonts w:ascii="Times New Roman" w:eastAsia="Times New Roman" w:hAnsi="Times New Roman" w:cs="Times New Roman"/>
          <w:i/>
          <w:iCs/>
          <w:color w:val="000000"/>
          <w:kern w:val="0"/>
          <w:lang w:val="en-US" w:eastAsia="it-IT"/>
          <w14:ligatures w14:val="none"/>
        </w:rPr>
        <w:t>Death Becomes Her: Representation, Symbolism, and Function of the Dead Woman</w:t>
      </w:r>
      <w:r w:rsidRPr="00150A36">
        <w:rPr>
          <w:rFonts w:ascii="Times New Roman" w:eastAsia="Times New Roman" w:hAnsi="Times New Roman" w:cs="Times New Roman"/>
          <w:color w:val="000000"/>
          <w:kern w:val="0"/>
          <w:lang w:val="en-US" w:eastAsia="it-IT"/>
          <w14:ligatures w14:val="none"/>
        </w:rPr>
        <w:t xml:space="preserve">. Ferri explored representations of dead women in </w:t>
      </w:r>
      <w:r>
        <w:rPr>
          <w:rFonts w:ascii="Times New Roman" w:eastAsia="Times New Roman" w:hAnsi="Times New Roman" w:cs="Times New Roman"/>
          <w:color w:val="000000"/>
          <w:kern w:val="0"/>
          <w:lang w:val="en-US" w:eastAsia="it-IT"/>
          <w14:ligatures w14:val="none"/>
        </w:rPr>
        <w:t>eighteen</w:t>
      </w:r>
      <w:r w:rsidRPr="00150A36">
        <w:rPr>
          <w:rFonts w:ascii="Times New Roman" w:eastAsia="Times New Roman" w:hAnsi="Times New Roman" w:cs="Times New Roman"/>
          <w:color w:val="000000"/>
          <w:kern w:val="0"/>
          <w:lang w:val="en-US" w:eastAsia="it-IT"/>
          <w14:ligatures w14:val="none"/>
        </w:rPr>
        <w:t xml:space="preserve">th and </w:t>
      </w:r>
      <w:r>
        <w:rPr>
          <w:rFonts w:ascii="Times New Roman" w:eastAsia="Times New Roman" w:hAnsi="Times New Roman" w:cs="Times New Roman"/>
          <w:color w:val="000000"/>
          <w:kern w:val="0"/>
          <w:lang w:val="en-US" w:eastAsia="it-IT"/>
          <w14:ligatures w14:val="none"/>
        </w:rPr>
        <w:t>nineteen</w:t>
      </w:r>
      <w:r w:rsidRPr="00150A36">
        <w:rPr>
          <w:rFonts w:ascii="Times New Roman" w:eastAsia="Times New Roman" w:hAnsi="Times New Roman" w:cs="Times New Roman"/>
          <w:color w:val="000000"/>
          <w:kern w:val="0"/>
          <w:lang w:val="en-US" w:eastAsia="it-IT"/>
          <w14:ligatures w14:val="none"/>
        </w:rPr>
        <w:t>th-century Italian literature, situating her analysis within Italy’s specific cultural context. She examined elegiac texts in which male authors engaged in both figurative and literal dialogues with dead female figures. Her analysis extended to the “anatomical Venus”</w:t>
      </w:r>
      <w:r>
        <w:rPr>
          <w:rFonts w:ascii="Times New Roman" w:eastAsia="Times New Roman" w:hAnsi="Times New Roman" w:cs="Times New Roman"/>
          <w:color w:val="000000"/>
          <w:kern w:val="0"/>
          <w:lang w:val="en-US" w:eastAsia="it-IT"/>
          <w14:ligatures w14:val="none"/>
        </w:rPr>
        <w:t>,</w:t>
      </w:r>
      <w:r w:rsidRPr="00150A36">
        <w:rPr>
          <w:rFonts w:ascii="Times New Roman" w:eastAsia="Times New Roman" w:hAnsi="Times New Roman" w:cs="Times New Roman"/>
          <w:color w:val="000000"/>
          <w:kern w:val="0"/>
          <w:lang w:val="en-US" w:eastAsia="it-IT"/>
          <w14:ligatures w14:val="none"/>
        </w:rPr>
        <w:t xml:space="preserve"> wax models of women used for anatomical study, showing how these representations fetishized and commodified the female corpse. Authors such as Ugo Foscolo and Giacomo Leopardi were key to Ferri’s exploration of how male subjectivity was constructed through mourning and death.</w:t>
      </w:r>
    </w:p>
    <w:p w14:paraId="091316E9" w14:textId="77777777" w:rsidR="00150A36" w:rsidRDefault="00150A36" w:rsidP="00150A36">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150A36">
        <w:rPr>
          <w:rFonts w:ascii="Times New Roman" w:eastAsia="Times New Roman" w:hAnsi="Times New Roman" w:cs="Times New Roman"/>
          <w:color w:val="000000"/>
          <w:kern w:val="0"/>
          <w:lang w:val="en-US" w:eastAsia="it-IT"/>
          <w14:ligatures w14:val="none"/>
        </w:rPr>
        <w:t>In the afternoon session, </w:t>
      </w:r>
      <w:r w:rsidRPr="00150A36">
        <w:rPr>
          <w:rFonts w:ascii="Times New Roman" w:eastAsia="Times New Roman" w:hAnsi="Times New Roman" w:cs="Times New Roman"/>
          <w:b/>
          <w:bCs/>
          <w:color w:val="000000"/>
          <w:kern w:val="0"/>
          <w:lang w:val="en-US" w:eastAsia="it-IT"/>
          <w14:ligatures w14:val="none"/>
        </w:rPr>
        <w:t>Arianna De Gasperis</w:t>
      </w:r>
      <w:r w:rsidRPr="00150A36">
        <w:rPr>
          <w:rFonts w:ascii="Times New Roman" w:eastAsia="Times New Roman" w:hAnsi="Times New Roman" w:cs="Times New Roman"/>
          <w:color w:val="000000"/>
          <w:kern w:val="0"/>
          <w:lang w:val="en-US" w:eastAsia="it-IT"/>
          <w14:ligatures w14:val="none"/>
        </w:rPr>
        <w:t> (La Sapienza, Rome) presented </w:t>
      </w:r>
      <w:r w:rsidRPr="00150A36">
        <w:rPr>
          <w:rFonts w:ascii="Times New Roman" w:eastAsia="Times New Roman" w:hAnsi="Times New Roman" w:cs="Times New Roman"/>
          <w:i/>
          <w:iCs/>
          <w:color w:val="000000"/>
          <w:kern w:val="0"/>
          <w:lang w:val="en-US" w:eastAsia="it-IT"/>
          <w14:ligatures w14:val="none"/>
        </w:rPr>
        <w:t>“Il violino spezzato”: Soul, Body, and (Im)Mortality in Carlo Bini’s Writings</w:t>
      </w:r>
      <w:r w:rsidRPr="00150A36">
        <w:rPr>
          <w:rFonts w:ascii="Times New Roman" w:eastAsia="Times New Roman" w:hAnsi="Times New Roman" w:cs="Times New Roman"/>
          <w:color w:val="000000"/>
          <w:kern w:val="0"/>
          <w:lang w:val="en-US" w:eastAsia="it-IT"/>
          <w14:ligatures w14:val="none"/>
        </w:rPr>
        <w:t>, focusing on Carlo Bini’s exploration of death and immortality. Through an analysis of texts like </w:t>
      </w:r>
      <w:r w:rsidRPr="00150A36">
        <w:rPr>
          <w:rFonts w:ascii="Times New Roman" w:eastAsia="Times New Roman" w:hAnsi="Times New Roman" w:cs="Times New Roman"/>
          <w:i/>
          <w:iCs/>
          <w:color w:val="000000"/>
          <w:kern w:val="0"/>
          <w:lang w:val="en-US" w:eastAsia="it-IT"/>
          <w14:ligatures w14:val="none"/>
        </w:rPr>
        <w:t>Manoscritto d’un prigioniero</w:t>
      </w:r>
      <w:r w:rsidRPr="00150A36">
        <w:rPr>
          <w:rFonts w:ascii="Times New Roman" w:eastAsia="Times New Roman" w:hAnsi="Times New Roman" w:cs="Times New Roman"/>
          <w:color w:val="000000"/>
          <w:kern w:val="0"/>
          <w:lang w:val="en-US" w:eastAsia="it-IT"/>
          <w14:ligatures w14:val="none"/>
        </w:rPr>
        <w:t> and </w:t>
      </w:r>
      <w:r w:rsidRPr="00150A36">
        <w:rPr>
          <w:rFonts w:ascii="Times New Roman" w:eastAsia="Times New Roman" w:hAnsi="Times New Roman" w:cs="Times New Roman"/>
          <w:i/>
          <w:iCs/>
          <w:color w:val="000000"/>
          <w:kern w:val="0"/>
          <w:lang w:val="en-US" w:eastAsia="it-IT"/>
          <w14:ligatures w14:val="none"/>
        </w:rPr>
        <w:t>Un sogno</w:t>
      </w:r>
      <w:r w:rsidRPr="00150A36">
        <w:rPr>
          <w:rFonts w:ascii="Times New Roman" w:eastAsia="Times New Roman" w:hAnsi="Times New Roman" w:cs="Times New Roman"/>
          <w:color w:val="000000"/>
          <w:kern w:val="0"/>
          <w:lang w:val="en-US" w:eastAsia="it-IT"/>
          <w14:ligatures w14:val="none"/>
        </w:rPr>
        <w:t>, De Gasperis showed how Bini engaged with the dead through altered states of consciousness, dreams, and mystical prayer. She also addressed Bini’s materialist distinction between body and soul, linking it to broader discussions on morality and the political implications of the soul’s immortality in the context of nation-building.</w:t>
      </w:r>
    </w:p>
    <w:p w14:paraId="408F5E98" w14:textId="7DA6F9BF" w:rsidR="00150A36" w:rsidRPr="00150A36" w:rsidRDefault="00150A36" w:rsidP="00150A36">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150A36">
        <w:rPr>
          <w:rFonts w:ascii="Times New Roman" w:eastAsia="Times New Roman" w:hAnsi="Times New Roman" w:cs="Times New Roman"/>
          <w:b/>
          <w:bCs/>
          <w:color w:val="000000"/>
          <w:kern w:val="0"/>
          <w:lang w:eastAsia="it-IT"/>
          <w14:ligatures w14:val="none"/>
        </w:rPr>
        <w:lastRenderedPageBreak/>
        <w:t>Enrica Leydi</w:t>
      </w:r>
      <w:r w:rsidRPr="00150A36">
        <w:rPr>
          <w:rFonts w:ascii="Times New Roman" w:eastAsia="Times New Roman" w:hAnsi="Times New Roman" w:cs="Times New Roman"/>
          <w:color w:val="000000"/>
          <w:kern w:val="0"/>
          <w:lang w:eastAsia="it-IT"/>
          <w14:ligatures w14:val="none"/>
        </w:rPr>
        <w:t> (Warwick)</w:t>
      </w:r>
      <w:r>
        <w:rPr>
          <w:rFonts w:ascii="Times New Roman" w:eastAsia="Times New Roman" w:hAnsi="Times New Roman" w:cs="Times New Roman"/>
          <w:color w:val="000000"/>
          <w:kern w:val="0"/>
          <w:lang w:eastAsia="it-IT"/>
          <w14:ligatures w14:val="none"/>
        </w:rPr>
        <w:t xml:space="preserve"> </w:t>
      </w:r>
      <w:r w:rsidRPr="00150A36">
        <w:rPr>
          <w:rFonts w:ascii="Times New Roman" w:eastAsia="Times New Roman" w:hAnsi="Times New Roman" w:cs="Times New Roman"/>
          <w:color w:val="000000"/>
          <w:kern w:val="0"/>
          <w:lang w:eastAsia="it-IT"/>
          <w14:ligatures w14:val="none"/>
        </w:rPr>
        <w:t>presented a paper on </w:t>
      </w:r>
      <w:r w:rsidRPr="00150A36">
        <w:rPr>
          <w:rFonts w:ascii="Times New Roman" w:eastAsia="Times New Roman" w:hAnsi="Times New Roman" w:cs="Times New Roman"/>
          <w:i/>
          <w:iCs/>
          <w:color w:val="000000"/>
          <w:kern w:val="0"/>
          <w:lang w:eastAsia="it-IT"/>
          <w14:ligatures w14:val="none"/>
        </w:rPr>
        <w:t>Monti, I poeti dei primi secoli della lingua italiana (1824), and the “Vocabolario dei Morti”</w:t>
      </w:r>
      <w:r w:rsidRPr="00150A36">
        <w:rPr>
          <w:rFonts w:ascii="Times New Roman" w:eastAsia="Times New Roman" w:hAnsi="Times New Roman" w:cs="Times New Roman"/>
          <w:color w:val="000000"/>
          <w:kern w:val="0"/>
          <w:lang w:eastAsia="it-IT"/>
          <w14:ligatures w14:val="none"/>
        </w:rPr>
        <w:t xml:space="preserve">. </w:t>
      </w:r>
      <w:r w:rsidRPr="00150A36">
        <w:rPr>
          <w:rFonts w:ascii="Times New Roman" w:eastAsia="Times New Roman" w:hAnsi="Times New Roman" w:cs="Times New Roman"/>
          <w:color w:val="000000"/>
          <w:kern w:val="0"/>
          <w:lang w:val="en-US" w:eastAsia="it-IT"/>
          <w14:ligatures w14:val="none"/>
        </w:rPr>
        <w:t>Leydi examined how Vincenzo Monti used Dante’s literary legacy as a symbol of national identity, transforming him from a mere historical figure into a living, influential presence. Leydi argued that Monti’s critical dialogue </w:t>
      </w:r>
      <w:r w:rsidRPr="00150A36">
        <w:rPr>
          <w:rFonts w:ascii="Times New Roman" w:eastAsia="Times New Roman" w:hAnsi="Times New Roman" w:cs="Times New Roman"/>
          <w:i/>
          <w:iCs/>
          <w:color w:val="000000"/>
          <w:kern w:val="0"/>
          <w:lang w:val="en-US" w:eastAsia="it-IT"/>
          <w14:ligatures w14:val="none"/>
        </w:rPr>
        <w:t>I poeti dei primi secoli</w:t>
      </w:r>
      <w:r w:rsidRPr="00150A36">
        <w:rPr>
          <w:rFonts w:ascii="Times New Roman" w:eastAsia="Times New Roman" w:hAnsi="Times New Roman" w:cs="Times New Roman"/>
          <w:color w:val="000000"/>
          <w:kern w:val="0"/>
          <w:lang w:val="en-US" w:eastAsia="it-IT"/>
          <w14:ligatures w14:val="none"/>
        </w:rPr>
        <w:t> dramatized his broader project of linguistic and literary reform, reviving Dante to challenge purist approaches to Italian language and culture.</w:t>
      </w:r>
    </w:p>
    <w:p w14:paraId="30454954" w14:textId="1B0BAE76" w:rsidR="00150A36" w:rsidRPr="00150A36" w:rsidRDefault="00150A36" w:rsidP="00150A36">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150A36">
        <w:rPr>
          <w:rFonts w:ascii="Times New Roman" w:eastAsia="Times New Roman" w:hAnsi="Times New Roman" w:cs="Times New Roman"/>
          <w:color w:val="000000"/>
          <w:kern w:val="0"/>
          <w:lang w:eastAsia="it-IT"/>
          <w14:ligatures w14:val="none"/>
        </w:rPr>
        <w:t>The final individual paper of the day, </w:t>
      </w:r>
      <w:r w:rsidRPr="00150A36">
        <w:rPr>
          <w:rFonts w:ascii="Times New Roman" w:eastAsia="Times New Roman" w:hAnsi="Times New Roman" w:cs="Times New Roman"/>
          <w:b/>
          <w:bCs/>
          <w:color w:val="000000"/>
          <w:kern w:val="0"/>
          <w:lang w:eastAsia="it-IT"/>
          <w14:ligatures w14:val="none"/>
        </w:rPr>
        <w:t>Martina Piperno</w:t>
      </w:r>
      <w:r w:rsidRPr="00150A36">
        <w:rPr>
          <w:rFonts w:ascii="Times New Roman" w:eastAsia="Times New Roman" w:hAnsi="Times New Roman" w:cs="Times New Roman"/>
          <w:color w:val="000000"/>
          <w:kern w:val="0"/>
          <w:lang w:eastAsia="it-IT"/>
          <w14:ligatures w14:val="none"/>
        </w:rPr>
        <w:t> (La Sapienza, Rome), presented </w:t>
      </w:r>
      <w:r w:rsidRPr="00150A36">
        <w:rPr>
          <w:rFonts w:ascii="Times New Roman" w:eastAsia="Times New Roman" w:hAnsi="Times New Roman" w:cs="Times New Roman"/>
          <w:i/>
          <w:iCs/>
          <w:color w:val="000000"/>
          <w:kern w:val="0"/>
          <w:lang w:eastAsia="it-IT"/>
          <w14:ligatures w14:val="none"/>
        </w:rPr>
        <w:t>“E chiamavate barbare le altre genti”: Gender-based Violence and the Spectre of Genocide in Alessandro Verri’s Le notti romane (1804)</w:t>
      </w:r>
      <w:r w:rsidRPr="00150A36">
        <w:rPr>
          <w:rFonts w:ascii="Times New Roman" w:eastAsia="Times New Roman" w:hAnsi="Times New Roman" w:cs="Times New Roman"/>
          <w:color w:val="000000"/>
          <w:kern w:val="0"/>
          <w:lang w:eastAsia="it-IT"/>
          <w14:ligatures w14:val="none"/>
        </w:rPr>
        <w:t xml:space="preserve">. </w:t>
      </w:r>
      <w:r w:rsidRPr="00150A36">
        <w:rPr>
          <w:rFonts w:ascii="Times New Roman" w:eastAsia="Times New Roman" w:hAnsi="Times New Roman" w:cs="Times New Roman"/>
          <w:color w:val="000000"/>
          <w:kern w:val="0"/>
          <w:lang w:val="en-US" w:eastAsia="it-IT"/>
          <w14:ligatures w14:val="none"/>
        </w:rPr>
        <w:t>Piperno analy</w:t>
      </w:r>
      <w:r>
        <w:rPr>
          <w:rFonts w:ascii="Times New Roman" w:eastAsia="Times New Roman" w:hAnsi="Times New Roman" w:cs="Times New Roman"/>
          <w:color w:val="000000"/>
          <w:kern w:val="0"/>
          <w:lang w:val="en-US" w:eastAsia="it-IT"/>
          <w14:ligatures w14:val="none"/>
        </w:rPr>
        <w:t>s</w:t>
      </w:r>
      <w:r w:rsidRPr="00150A36">
        <w:rPr>
          <w:rFonts w:ascii="Times New Roman" w:eastAsia="Times New Roman" w:hAnsi="Times New Roman" w:cs="Times New Roman"/>
          <w:color w:val="000000"/>
          <w:kern w:val="0"/>
          <w:lang w:val="en-US" w:eastAsia="it-IT"/>
          <w14:ligatures w14:val="none"/>
        </w:rPr>
        <w:t>ed Verri’s </w:t>
      </w:r>
      <w:r w:rsidRPr="00150A36">
        <w:rPr>
          <w:rFonts w:ascii="Times New Roman" w:eastAsia="Times New Roman" w:hAnsi="Times New Roman" w:cs="Times New Roman"/>
          <w:i/>
          <w:iCs/>
          <w:color w:val="000000"/>
          <w:kern w:val="0"/>
          <w:lang w:val="en-US" w:eastAsia="it-IT"/>
          <w14:ligatures w14:val="none"/>
        </w:rPr>
        <w:t>Le notti romane</w:t>
      </w:r>
      <w:r w:rsidRPr="00150A36">
        <w:rPr>
          <w:rFonts w:ascii="Times New Roman" w:eastAsia="Times New Roman" w:hAnsi="Times New Roman" w:cs="Times New Roman"/>
          <w:color w:val="000000"/>
          <w:kern w:val="0"/>
          <w:lang w:val="en-US" w:eastAsia="it-IT"/>
          <w14:ligatures w14:val="none"/>
        </w:rPr>
        <w:t xml:space="preserve">, which portrays dialogues between the shades of ancient Romans and a modern narrator. She focused on the representation of gender-based violence in the text, showing how Verri gave voice to female victims of Roman brutality, such as Floronia and Lucrezia, as symbols of the broader violence that marked Roman history. Piperno further discussed Verri’s engagement with the theme of genocide, particularly in relation to the Roman subjugation of the Etruscans, situating the work within the wider context of anti-Roman sentiment in late </w:t>
      </w:r>
      <w:r>
        <w:rPr>
          <w:rFonts w:ascii="Times New Roman" w:eastAsia="Times New Roman" w:hAnsi="Times New Roman" w:cs="Times New Roman"/>
          <w:color w:val="000000"/>
          <w:kern w:val="0"/>
          <w:lang w:val="en-US" w:eastAsia="it-IT"/>
          <w14:ligatures w14:val="none"/>
        </w:rPr>
        <w:t>eighteen</w:t>
      </w:r>
      <w:r w:rsidRPr="00150A36">
        <w:rPr>
          <w:rFonts w:ascii="Times New Roman" w:eastAsia="Times New Roman" w:hAnsi="Times New Roman" w:cs="Times New Roman"/>
          <w:color w:val="000000"/>
          <w:kern w:val="0"/>
          <w:lang w:val="en-US" w:eastAsia="it-IT"/>
          <w14:ligatures w14:val="none"/>
        </w:rPr>
        <w:t xml:space="preserve">th and early </w:t>
      </w:r>
      <w:r>
        <w:rPr>
          <w:rFonts w:ascii="Times New Roman" w:eastAsia="Times New Roman" w:hAnsi="Times New Roman" w:cs="Times New Roman"/>
          <w:color w:val="000000"/>
          <w:kern w:val="0"/>
          <w:lang w:val="en-US" w:eastAsia="it-IT"/>
          <w14:ligatures w14:val="none"/>
        </w:rPr>
        <w:t>nienteen</w:t>
      </w:r>
      <w:r w:rsidRPr="00150A36">
        <w:rPr>
          <w:rFonts w:ascii="Times New Roman" w:eastAsia="Times New Roman" w:hAnsi="Times New Roman" w:cs="Times New Roman"/>
          <w:color w:val="000000"/>
          <w:kern w:val="0"/>
          <w:lang w:val="en-US" w:eastAsia="it-IT"/>
          <w14:ligatures w14:val="none"/>
        </w:rPr>
        <w:t>th-century Italy.</w:t>
      </w:r>
    </w:p>
    <w:p w14:paraId="6D1AEA90" w14:textId="7FCF0C27" w:rsidR="00150A36" w:rsidRPr="00150A36" w:rsidRDefault="00150A36" w:rsidP="00150A36">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150A36">
        <w:rPr>
          <w:rFonts w:ascii="Times New Roman" w:eastAsia="Times New Roman" w:hAnsi="Times New Roman" w:cs="Times New Roman"/>
          <w:color w:val="000000"/>
          <w:kern w:val="0"/>
          <w:lang w:val="en-US" w:eastAsia="it-IT"/>
          <w14:ligatures w14:val="none"/>
        </w:rPr>
        <w:t>The day concluded with a conversation titled </w:t>
      </w:r>
      <w:r w:rsidRPr="4970015E">
        <w:rPr>
          <w:rFonts w:ascii="Times New Roman" w:eastAsia="Times New Roman" w:hAnsi="Times New Roman" w:cs="Times New Roman"/>
          <w:i/>
          <w:iCs/>
          <w:color w:val="000000"/>
          <w:kern w:val="0"/>
          <w:lang w:val="en-US" w:eastAsia="it-IT"/>
          <w14:ligatures w14:val="none"/>
        </w:rPr>
        <w:t xml:space="preserve">The Haunting Canon: Dante, the Renaissance, and Other Revenants </w:t>
      </w:r>
      <w:r w:rsidRPr="00150A36">
        <w:rPr>
          <w:rFonts w:ascii="Times New Roman" w:eastAsia="Times New Roman" w:hAnsi="Times New Roman" w:cs="Times New Roman"/>
          <w:color w:val="000000"/>
          <w:kern w:val="0"/>
          <w:lang w:val="en-US" w:eastAsia="it-IT"/>
          <w14:ligatures w14:val="none"/>
        </w:rPr>
        <w:t>between </w:t>
      </w:r>
      <w:r w:rsidRPr="00150A36">
        <w:rPr>
          <w:rFonts w:ascii="Times New Roman" w:eastAsia="Times New Roman" w:hAnsi="Times New Roman" w:cs="Times New Roman"/>
          <w:b/>
          <w:bCs/>
          <w:color w:val="000000"/>
          <w:kern w:val="0"/>
          <w:lang w:val="en-US" w:eastAsia="it-IT"/>
          <w14:ligatures w14:val="none"/>
        </w:rPr>
        <w:t>Fabio Camilletti</w:t>
      </w:r>
      <w:r w:rsidRPr="00150A36">
        <w:rPr>
          <w:rFonts w:ascii="Times New Roman" w:eastAsia="Times New Roman" w:hAnsi="Times New Roman" w:cs="Times New Roman"/>
          <w:color w:val="000000"/>
          <w:kern w:val="0"/>
          <w:lang w:val="en-US" w:eastAsia="it-IT"/>
          <w14:ligatures w14:val="none"/>
        </w:rPr>
        <w:t> and </w:t>
      </w:r>
      <w:r w:rsidRPr="00150A36">
        <w:rPr>
          <w:rFonts w:ascii="Times New Roman" w:eastAsia="Times New Roman" w:hAnsi="Times New Roman" w:cs="Times New Roman"/>
          <w:b/>
          <w:bCs/>
          <w:color w:val="000000"/>
          <w:kern w:val="0"/>
          <w:lang w:val="en-US" w:eastAsia="it-IT"/>
          <w14:ligatures w14:val="none"/>
        </w:rPr>
        <w:t>Alessandro Giammei</w:t>
      </w:r>
      <w:r w:rsidRPr="00150A36">
        <w:rPr>
          <w:rFonts w:ascii="Times New Roman" w:eastAsia="Times New Roman" w:hAnsi="Times New Roman" w:cs="Times New Roman"/>
          <w:color w:val="000000"/>
          <w:kern w:val="0"/>
          <w:lang w:val="en-US" w:eastAsia="it-IT"/>
          <w14:ligatures w14:val="none"/>
        </w:rPr>
        <w:t xml:space="preserve">, who discussed how figures from Italy’s literary past continued to </w:t>
      </w:r>
      <w:r>
        <w:rPr>
          <w:rFonts w:ascii="Times New Roman" w:eastAsia="Times New Roman" w:hAnsi="Times New Roman" w:cs="Times New Roman"/>
          <w:color w:val="000000"/>
          <w:kern w:val="0"/>
          <w:lang w:val="en-US" w:eastAsia="it-IT"/>
          <w14:ligatures w14:val="none"/>
        </w:rPr>
        <w:t>“</w:t>
      </w:r>
      <w:r w:rsidRPr="00150A36">
        <w:rPr>
          <w:rFonts w:ascii="Times New Roman" w:eastAsia="Times New Roman" w:hAnsi="Times New Roman" w:cs="Times New Roman"/>
          <w:color w:val="000000"/>
          <w:kern w:val="0"/>
          <w:lang w:val="en-US" w:eastAsia="it-IT"/>
          <w14:ligatures w14:val="none"/>
        </w:rPr>
        <w:t>haunt</w:t>
      </w:r>
      <w:r>
        <w:rPr>
          <w:rFonts w:ascii="Times New Roman" w:eastAsia="Times New Roman" w:hAnsi="Times New Roman" w:cs="Times New Roman"/>
          <w:color w:val="000000"/>
          <w:kern w:val="0"/>
          <w:lang w:val="en-US" w:eastAsia="it-IT"/>
          <w14:ligatures w14:val="none"/>
        </w:rPr>
        <w:t>”</w:t>
      </w:r>
      <w:r w:rsidRPr="00150A36">
        <w:rPr>
          <w:rFonts w:ascii="Times New Roman" w:eastAsia="Times New Roman" w:hAnsi="Times New Roman" w:cs="Times New Roman"/>
          <w:color w:val="000000"/>
          <w:kern w:val="0"/>
          <w:lang w:val="en-US" w:eastAsia="it-IT"/>
          <w14:ligatures w14:val="none"/>
        </w:rPr>
        <w:t xml:space="preserve"> modern Italian literature and culture. This dialogue encapsulated the conference’s focus on how the dead and the past remained active presences in shaping contemporary thought.</w:t>
      </w:r>
    </w:p>
    <w:p w14:paraId="052514CE" w14:textId="625A4377" w:rsidR="4970015E" w:rsidRDefault="4970015E" w:rsidP="4970015E">
      <w:pPr>
        <w:spacing w:beforeAutospacing="1" w:afterAutospacing="1" w:line="276" w:lineRule="auto"/>
        <w:jc w:val="both"/>
        <w:outlineLvl w:val="2"/>
        <w:rPr>
          <w:rFonts w:ascii="Times New Roman" w:eastAsia="Times New Roman" w:hAnsi="Times New Roman" w:cs="Times New Roman"/>
          <w:b/>
          <w:bCs/>
          <w:color w:val="000000" w:themeColor="text1"/>
          <w:lang w:val="en-US" w:eastAsia="it-IT"/>
        </w:rPr>
      </w:pPr>
    </w:p>
    <w:p w14:paraId="3CA5885B" w14:textId="77777777" w:rsidR="00150A36" w:rsidRPr="00150A36" w:rsidRDefault="00150A36" w:rsidP="00150A36">
      <w:pPr>
        <w:spacing w:before="100" w:beforeAutospacing="1" w:after="100" w:afterAutospacing="1" w:line="276" w:lineRule="auto"/>
        <w:jc w:val="both"/>
        <w:outlineLvl w:val="2"/>
        <w:rPr>
          <w:rFonts w:ascii="Times New Roman" w:eastAsia="Times New Roman" w:hAnsi="Times New Roman" w:cs="Times New Roman"/>
          <w:b/>
          <w:bCs/>
          <w:color w:val="000000"/>
          <w:kern w:val="0"/>
          <w:lang w:val="en-US" w:eastAsia="it-IT"/>
          <w14:ligatures w14:val="none"/>
        </w:rPr>
      </w:pPr>
      <w:r w:rsidRPr="00150A36">
        <w:rPr>
          <w:rFonts w:ascii="Times New Roman" w:eastAsia="Times New Roman" w:hAnsi="Times New Roman" w:cs="Times New Roman"/>
          <w:b/>
          <w:bCs/>
          <w:color w:val="000000"/>
          <w:kern w:val="0"/>
          <w:lang w:val="en-US" w:eastAsia="it-IT"/>
          <w14:ligatures w14:val="none"/>
        </w:rPr>
        <w:t>Day 2 - September 27</w:t>
      </w:r>
    </w:p>
    <w:p w14:paraId="2A77012E" w14:textId="499EEFD0" w:rsidR="00150A36" w:rsidRPr="00150A36" w:rsidRDefault="00150A36" w:rsidP="00150A36">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150A36">
        <w:rPr>
          <w:rFonts w:ascii="Times New Roman" w:eastAsia="Times New Roman" w:hAnsi="Times New Roman" w:cs="Times New Roman"/>
          <w:color w:val="000000"/>
          <w:kern w:val="0"/>
          <w:lang w:val="en-US" w:eastAsia="it-IT"/>
          <w14:ligatures w14:val="none"/>
        </w:rPr>
        <w:t>The second day of the conference began with </w:t>
      </w:r>
      <w:r w:rsidRPr="00150A36">
        <w:rPr>
          <w:rFonts w:ascii="Times New Roman" w:eastAsia="Times New Roman" w:hAnsi="Times New Roman" w:cs="Times New Roman"/>
          <w:b/>
          <w:bCs/>
          <w:color w:val="000000"/>
          <w:kern w:val="0"/>
          <w:lang w:val="en-US" w:eastAsia="it-IT"/>
          <w14:ligatures w14:val="none"/>
        </w:rPr>
        <w:t>Alessandro Giammei</w:t>
      </w:r>
      <w:r w:rsidRPr="00150A36">
        <w:rPr>
          <w:rFonts w:ascii="Times New Roman" w:eastAsia="Times New Roman" w:hAnsi="Times New Roman" w:cs="Times New Roman"/>
          <w:color w:val="000000"/>
          <w:kern w:val="0"/>
          <w:lang w:val="en-US" w:eastAsia="it-IT"/>
          <w14:ligatures w14:val="none"/>
        </w:rPr>
        <w:t> (Yale)</w:t>
      </w:r>
      <w:r>
        <w:rPr>
          <w:rFonts w:ascii="Times New Roman" w:eastAsia="Times New Roman" w:hAnsi="Times New Roman" w:cs="Times New Roman"/>
          <w:color w:val="000000"/>
          <w:kern w:val="0"/>
          <w:lang w:val="en-US" w:eastAsia="it-IT"/>
          <w14:ligatures w14:val="none"/>
        </w:rPr>
        <w:t>, who</w:t>
      </w:r>
      <w:r w:rsidRPr="00150A36">
        <w:rPr>
          <w:rFonts w:ascii="Times New Roman" w:eastAsia="Times New Roman" w:hAnsi="Times New Roman" w:cs="Times New Roman"/>
          <w:color w:val="000000"/>
          <w:kern w:val="0"/>
          <w:lang w:val="en-US" w:eastAsia="it-IT"/>
          <w14:ligatures w14:val="none"/>
        </w:rPr>
        <w:t xml:space="preserve"> presented </w:t>
      </w:r>
      <w:r w:rsidRPr="00150A36">
        <w:rPr>
          <w:rFonts w:ascii="Times New Roman" w:eastAsia="Times New Roman" w:hAnsi="Times New Roman" w:cs="Times New Roman"/>
          <w:i/>
          <w:iCs/>
          <w:color w:val="000000"/>
          <w:kern w:val="0"/>
          <w:lang w:val="en-US" w:eastAsia="it-IT"/>
          <w14:ligatures w14:val="none"/>
        </w:rPr>
        <w:t>Philology Fiction (Phi-Fi): Speculative Animal Cultures in Leopardi’s Paralipomeni and Casti’s Animali Parlanti</w:t>
      </w:r>
      <w:r>
        <w:rPr>
          <w:rFonts w:ascii="Times New Roman" w:eastAsia="Times New Roman" w:hAnsi="Times New Roman" w:cs="Times New Roman"/>
          <w:color w:val="000000"/>
          <w:kern w:val="0"/>
          <w:lang w:val="en-US" w:eastAsia="it-IT"/>
          <w14:ligatures w14:val="none"/>
        </w:rPr>
        <w:t xml:space="preserve"> and </w:t>
      </w:r>
      <w:r w:rsidRPr="00150A36">
        <w:rPr>
          <w:rFonts w:ascii="Times New Roman" w:eastAsia="Times New Roman" w:hAnsi="Times New Roman" w:cs="Times New Roman"/>
          <w:color w:val="000000"/>
          <w:kern w:val="0"/>
          <w:lang w:val="en-US" w:eastAsia="it-IT"/>
          <w14:ligatures w14:val="none"/>
        </w:rPr>
        <w:t>explored how Giovan Battista Casti and Giacomo Leopardi used speculative fiction to imagine pre-human animal societies. Giammei argued that their </w:t>
      </w:r>
      <w:r w:rsidRPr="00150A36">
        <w:rPr>
          <w:rFonts w:ascii="Times New Roman" w:eastAsia="Times New Roman" w:hAnsi="Times New Roman" w:cs="Times New Roman"/>
          <w:i/>
          <w:iCs/>
          <w:color w:val="000000"/>
          <w:kern w:val="0"/>
          <w:lang w:val="en-US" w:eastAsia="it-IT"/>
          <w14:ligatures w14:val="none"/>
        </w:rPr>
        <w:t>zooepic</w:t>
      </w:r>
      <w:r w:rsidRPr="00150A36">
        <w:rPr>
          <w:rFonts w:ascii="Times New Roman" w:eastAsia="Times New Roman" w:hAnsi="Times New Roman" w:cs="Times New Roman"/>
          <w:color w:val="000000"/>
          <w:kern w:val="0"/>
          <w:lang w:val="en-US" w:eastAsia="it-IT"/>
          <w14:ligatures w14:val="none"/>
        </w:rPr>
        <w:t> poems, </w:t>
      </w:r>
      <w:r w:rsidRPr="00150A36">
        <w:rPr>
          <w:rFonts w:ascii="Times New Roman" w:eastAsia="Times New Roman" w:hAnsi="Times New Roman" w:cs="Times New Roman"/>
          <w:i/>
          <w:iCs/>
          <w:color w:val="000000"/>
          <w:kern w:val="0"/>
          <w:lang w:val="en-US" w:eastAsia="it-IT"/>
          <w14:ligatures w14:val="none"/>
        </w:rPr>
        <w:t>Gli animali parlanti</w:t>
      </w:r>
      <w:r>
        <w:rPr>
          <w:rFonts w:ascii="Times New Roman" w:eastAsia="Times New Roman" w:hAnsi="Times New Roman" w:cs="Times New Roman"/>
          <w:i/>
          <w:iCs/>
          <w:color w:val="000000"/>
          <w:kern w:val="0"/>
          <w:lang w:val="en-US" w:eastAsia="it-IT"/>
          <w14:ligatures w14:val="none"/>
        </w:rPr>
        <w:t xml:space="preserve"> </w:t>
      </w:r>
      <w:r w:rsidRPr="00150A36">
        <w:rPr>
          <w:rFonts w:ascii="Times New Roman" w:eastAsia="Times New Roman" w:hAnsi="Times New Roman" w:cs="Times New Roman"/>
          <w:color w:val="000000"/>
          <w:kern w:val="0"/>
          <w:lang w:val="en-US" w:eastAsia="it-IT"/>
          <w14:ligatures w14:val="none"/>
        </w:rPr>
        <w:t>and </w:t>
      </w:r>
      <w:r w:rsidRPr="00150A36">
        <w:rPr>
          <w:rFonts w:ascii="Times New Roman" w:eastAsia="Times New Roman" w:hAnsi="Times New Roman" w:cs="Times New Roman"/>
          <w:i/>
          <w:iCs/>
          <w:color w:val="000000"/>
          <w:kern w:val="0"/>
          <w:lang w:val="en-US" w:eastAsia="it-IT"/>
          <w14:ligatures w14:val="none"/>
        </w:rPr>
        <w:t>Paralipomeni della Batracomiomachia</w:t>
      </w:r>
      <w:r w:rsidRPr="00150A36">
        <w:rPr>
          <w:rFonts w:ascii="Times New Roman" w:eastAsia="Times New Roman" w:hAnsi="Times New Roman" w:cs="Times New Roman"/>
          <w:color w:val="000000"/>
          <w:kern w:val="0"/>
          <w:lang w:val="en-US" w:eastAsia="it-IT"/>
          <w14:ligatures w14:val="none"/>
        </w:rPr>
        <w:t xml:space="preserve">, challenged humanist traditions from within, using the genre of epic verse to speculate on distant, pre-human histories and create a </w:t>
      </w:r>
      <w:r>
        <w:rPr>
          <w:rFonts w:ascii="Times New Roman" w:eastAsia="Times New Roman" w:hAnsi="Times New Roman" w:cs="Times New Roman"/>
          <w:color w:val="000000"/>
          <w:kern w:val="0"/>
          <w:lang w:val="en-US" w:eastAsia="it-IT"/>
          <w14:ligatures w14:val="none"/>
        </w:rPr>
        <w:t>“</w:t>
      </w:r>
      <w:r w:rsidRPr="00150A36">
        <w:rPr>
          <w:rFonts w:ascii="Times New Roman" w:eastAsia="Times New Roman" w:hAnsi="Times New Roman" w:cs="Times New Roman"/>
          <w:color w:val="000000"/>
          <w:kern w:val="0"/>
          <w:lang w:val="en-US" w:eastAsia="it-IT"/>
          <w14:ligatures w14:val="none"/>
        </w:rPr>
        <w:t>philology fiction</w:t>
      </w:r>
      <w:r>
        <w:rPr>
          <w:rFonts w:ascii="Times New Roman" w:eastAsia="Times New Roman" w:hAnsi="Times New Roman" w:cs="Times New Roman"/>
          <w:color w:val="000000"/>
          <w:kern w:val="0"/>
          <w:lang w:val="en-US" w:eastAsia="it-IT"/>
          <w14:ligatures w14:val="none"/>
        </w:rPr>
        <w:t>”</w:t>
      </w:r>
      <w:r w:rsidRPr="00150A36">
        <w:rPr>
          <w:rFonts w:ascii="Times New Roman" w:eastAsia="Times New Roman" w:hAnsi="Times New Roman" w:cs="Times New Roman"/>
          <w:color w:val="000000"/>
          <w:kern w:val="0"/>
          <w:lang w:val="en-US" w:eastAsia="it-IT"/>
          <w14:ligatures w14:val="none"/>
        </w:rPr>
        <w:t xml:space="preserve"> that imagined the textual transmission of these fictional animal cultures.</w:t>
      </w:r>
    </w:p>
    <w:p w14:paraId="327515DB" w14:textId="6C10F750" w:rsidR="00150A36" w:rsidRPr="00150A36" w:rsidRDefault="00150A36" w:rsidP="4970015E">
      <w:pPr>
        <w:spacing w:before="100" w:beforeAutospacing="1" w:after="100" w:afterAutospacing="1" w:line="276" w:lineRule="auto"/>
        <w:jc w:val="both"/>
        <w:rPr>
          <w:rFonts w:ascii="Times New Roman" w:eastAsia="Times New Roman" w:hAnsi="Times New Roman" w:cs="Times New Roman"/>
          <w:color w:val="000000"/>
          <w:kern w:val="0"/>
          <w:lang w:val="en-US" w:eastAsia="it-IT"/>
          <w14:ligatures w14:val="none"/>
        </w:rPr>
      </w:pPr>
      <w:r w:rsidRPr="00150A36">
        <w:rPr>
          <w:rFonts w:ascii="Times New Roman" w:eastAsia="Times New Roman" w:hAnsi="Times New Roman" w:cs="Times New Roman"/>
          <w:color w:val="000000"/>
          <w:kern w:val="0"/>
          <w:lang w:val="en-US" w:eastAsia="it-IT"/>
          <w14:ligatures w14:val="none"/>
        </w:rPr>
        <w:t>The conference closed with </w:t>
      </w:r>
      <w:r w:rsidRPr="00150A36">
        <w:rPr>
          <w:rFonts w:ascii="Times New Roman" w:eastAsia="Times New Roman" w:hAnsi="Times New Roman" w:cs="Times New Roman"/>
          <w:b/>
          <w:bCs/>
          <w:color w:val="000000"/>
          <w:kern w:val="0"/>
          <w:lang w:val="en-US" w:eastAsia="it-IT"/>
          <w14:ligatures w14:val="none"/>
        </w:rPr>
        <w:t>Fabio Camilletti’s</w:t>
      </w:r>
      <w:r w:rsidRPr="00150A36">
        <w:rPr>
          <w:rFonts w:ascii="Times New Roman" w:eastAsia="Times New Roman" w:hAnsi="Times New Roman" w:cs="Times New Roman"/>
          <w:color w:val="000000"/>
          <w:kern w:val="0"/>
          <w:lang w:val="en-US" w:eastAsia="it-IT"/>
          <w14:ligatures w14:val="none"/>
        </w:rPr>
        <w:t> paper </w:t>
      </w:r>
      <w:r w:rsidRPr="4970015E">
        <w:rPr>
          <w:rFonts w:ascii="Times New Roman" w:eastAsia="Times New Roman" w:hAnsi="Times New Roman" w:cs="Times New Roman"/>
          <w:i/>
          <w:iCs/>
          <w:color w:val="000000"/>
          <w:kern w:val="0"/>
          <w:lang w:val="en-US" w:eastAsia="it-IT"/>
          <w14:ligatures w14:val="none"/>
        </w:rPr>
        <w:t>Foscolo, Leopardi, Manzoni, and the Past as Phantasmagoria</w:t>
      </w:r>
      <w:r w:rsidRPr="00150A36">
        <w:rPr>
          <w:rFonts w:ascii="Times New Roman" w:eastAsia="Times New Roman" w:hAnsi="Times New Roman" w:cs="Times New Roman"/>
          <w:color w:val="000000"/>
          <w:kern w:val="0"/>
          <w:lang w:val="en-US" w:eastAsia="it-IT"/>
          <w14:ligatures w14:val="none"/>
        </w:rPr>
        <w:t>, which analy</w:t>
      </w:r>
      <w:r>
        <w:rPr>
          <w:rFonts w:ascii="Times New Roman" w:eastAsia="Times New Roman" w:hAnsi="Times New Roman" w:cs="Times New Roman"/>
          <w:color w:val="000000"/>
          <w:kern w:val="0"/>
          <w:lang w:val="en-US" w:eastAsia="it-IT"/>
          <w14:ligatures w14:val="none"/>
        </w:rPr>
        <w:t>s</w:t>
      </w:r>
      <w:r w:rsidRPr="00150A36">
        <w:rPr>
          <w:rFonts w:ascii="Times New Roman" w:eastAsia="Times New Roman" w:hAnsi="Times New Roman" w:cs="Times New Roman"/>
          <w:color w:val="000000"/>
          <w:kern w:val="0"/>
          <w:lang w:val="en-US" w:eastAsia="it-IT"/>
          <w14:ligatures w14:val="none"/>
        </w:rPr>
        <w:t>ed how key Italian authors used the past as a kind of “phantasmagoria”</w:t>
      </w:r>
      <w:r>
        <w:rPr>
          <w:rFonts w:ascii="Times New Roman" w:eastAsia="Times New Roman" w:hAnsi="Times New Roman" w:cs="Times New Roman"/>
          <w:color w:val="000000"/>
          <w:kern w:val="0"/>
          <w:lang w:val="en-US" w:eastAsia="it-IT"/>
          <w14:ligatures w14:val="none"/>
        </w:rPr>
        <w:t>,</w:t>
      </w:r>
      <w:r w:rsidRPr="00150A36">
        <w:rPr>
          <w:rFonts w:ascii="Times New Roman" w:eastAsia="Times New Roman" w:hAnsi="Times New Roman" w:cs="Times New Roman"/>
          <w:color w:val="000000"/>
          <w:kern w:val="0"/>
          <w:lang w:val="en-US" w:eastAsia="it-IT"/>
          <w14:ligatures w14:val="none"/>
        </w:rPr>
        <w:t xml:space="preserve"> invoking tombs, manuscripts, and palimpsests as sites where the voices of the dead could still resonate. Camilletti’s discussion centered on how figures like Foscolo, Leopardi, and Manzoni grappled with the material traces of history, attempting to reactivate the past through their literary works.</w:t>
      </w:r>
    </w:p>
    <w:p w14:paraId="005B8F31" w14:textId="633F9D97" w:rsidR="4970015E" w:rsidRDefault="4970015E" w:rsidP="4970015E">
      <w:pPr>
        <w:spacing w:beforeAutospacing="1" w:afterAutospacing="1" w:line="276" w:lineRule="auto"/>
        <w:jc w:val="both"/>
        <w:rPr>
          <w:rFonts w:ascii="Times New Roman" w:eastAsia="Times New Roman" w:hAnsi="Times New Roman" w:cs="Times New Roman"/>
          <w:color w:val="000000" w:themeColor="text1"/>
          <w:lang w:val="en-US" w:eastAsia="it-IT"/>
        </w:rPr>
      </w:pPr>
    </w:p>
    <w:p w14:paraId="18D26715" w14:textId="1978EAFB" w:rsidR="00150A36" w:rsidRPr="00150A36" w:rsidRDefault="00150A36" w:rsidP="4970015E">
      <w:pPr>
        <w:spacing w:before="100" w:beforeAutospacing="1" w:after="100" w:afterAutospacing="1" w:line="276" w:lineRule="auto"/>
        <w:jc w:val="both"/>
        <w:rPr>
          <w:rFonts w:ascii="-webkit-standard" w:eastAsia="-webkit-standard" w:hAnsi="-webkit-standard" w:cs="-webkit-standard"/>
          <w:color w:val="000000"/>
          <w:kern w:val="0"/>
          <w:lang w:val="en-US"/>
          <w14:ligatures w14:val="none"/>
        </w:rPr>
      </w:pPr>
      <w:r w:rsidRPr="00150A36">
        <w:rPr>
          <w:rFonts w:ascii="Times New Roman" w:eastAsia="Times New Roman" w:hAnsi="Times New Roman" w:cs="Times New Roman"/>
          <w:color w:val="000000"/>
          <w:kern w:val="0"/>
          <w:lang w:val="en-US" w:eastAsia="it-IT"/>
          <w14:ligatures w14:val="none"/>
        </w:rPr>
        <w:t xml:space="preserve">The two-day conference concluded with a </w:t>
      </w:r>
      <w:r w:rsidRPr="4970015E">
        <w:rPr>
          <w:rFonts w:ascii="Times New Roman" w:eastAsia="Times New Roman" w:hAnsi="Times New Roman" w:cs="Times New Roman"/>
          <w:b/>
          <w:bCs/>
          <w:color w:val="000000"/>
          <w:kern w:val="0"/>
          <w:lang w:val="en-US" w:eastAsia="it-IT"/>
          <w14:ligatures w14:val="none"/>
        </w:rPr>
        <w:t xml:space="preserve">roundtable </w:t>
      </w:r>
      <w:r w:rsidRPr="00150A36">
        <w:rPr>
          <w:rFonts w:ascii="Times New Roman" w:eastAsia="Times New Roman" w:hAnsi="Times New Roman" w:cs="Times New Roman"/>
          <w:color w:val="000000"/>
          <w:kern w:val="0"/>
          <w:lang w:val="en-US" w:eastAsia="it-IT"/>
          <w14:ligatures w14:val="none"/>
        </w:rPr>
        <w:t xml:space="preserve">discussion, bringing together the various themes of death, memory, and the legacy of the past in Italian culture. The presentations demonstrated </w:t>
      </w:r>
      <w:r w:rsidRPr="00150A36">
        <w:rPr>
          <w:rFonts w:ascii="Times New Roman" w:eastAsia="Times New Roman" w:hAnsi="Times New Roman" w:cs="Times New Roman"/>
          <w:color w:val="000000"/>
          <w:kern w:val="0"/>
          <w:lang w:val="en-US" w:eastAsia="it-IT"/>
          <w14:ligatures w14:val="none"/>
        </w:rPr>
        <w:lastRenderedPageBreak/>
        <w:t>how Italy’s literary and cultural history from 1750 to 1850 was continuously revisited, interpreted, and transformed, showing the lasting impact of the dead on the living and the evolving role of the past in shaping Italy’s future.</w:t>
      </w:r>
      <w:r w:rsidR="4C24E055" w:rsidRPr="00150A36">
        <w:rPr>
          <w:rFonts w:ascii="Times New Roman" w:eastAsia="Times New Roman" w:hAnsi="Times New Roman" w:cs="Times New Roman"/>
          <w:color w:val="000000"/>
          <w:kern w:val="0"/>
          <w:lang w:val="en-US" w:eastAsia="it-IT"/>
          <w14:ligatures w14:val="none"/>
        </w:rPr>
        <w:t xml:space="preserve"> </w:t>
      </w:r>
      <w:r w:rsidR="4C24E055" w:rsidRPr="4970015E">
        <w:rPr>
          <w:rFonts w:ascii="-webkit-standard" w:eastAsia="-webkit-standard" w:hAnsi="-webkit-standard" w:cs="-webkit-standard"/>
          <w:color w:val="000000" w:themeColor="text1"/>
          <w:lang w:val="en-US"/>
        </w:rPr>
        <w:t>In addition to the conference's intellectual richness, scholars from institutions such as La Sapienza University, Yale University, and CUNY offered a unique opportunity to foster dialogue on potential future collaborations. The convergence of perspectives from these leading academic institutions not only deepened the discussions around the central themes but also opened the door for new projects and research initiatives stemming from the conversations and ideas generated during the conference. Plans for cross-institutional partnerships, joint research efforts, and further scholarly exchanges were discussed, promising to extend the impact of the event well beyond its conclusion.</w:t>
      </w:r>
    </w:p>
    <w:p w14:paraId="52F2C98F" w14:textId="77777777" w:rsidR="00EC75D4" w:rsidRPr="00150A36" w:rsidRDefault="00EC75D4" w:rsidP="00150A36">
      <w:pPr>
        <w:spacing w:line="276" w:lineRule="auto"/>
        <w:jc w:val="both"/>
        <w:rPr>
          <w:lang w:val="en-US"/>
        </w:rPr>
      </w:pPr>
    </w:p>
    <w:sectPr w:rsidR="00EC75D4" w:rsidRPr="00150A3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webkit-standard">
    <w:altName w:val="Cambria"/>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0A36"/>
    <w:rsid w:val="00150A36"/>
    <w:rsid w:val="00375566"/>
    <w:rsid w:val="00546460"/>
    <w:rsid w:val="006467A7"/>
    <w:rsid w:val="008C5B94"/>
    <w:rsid w:val="00E05B92"/>
    <w:rsid w:val="00EC75D4"/>
    <w:rsid w:val="0D1FCD57"/>
    <w:rsid w:val="4970015E"/>
    <w:rsid w:val="4C24E055"/>
    <w:rsid w:val="709AD78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6528F5F6"/>
  <w15:chartTrackingRefBased/>
  <w15:docId w15:val="{1E96A2F1-1ECA-D44C-86FD-CD64F34D60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50A3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50A3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150A3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50A3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50A3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50A3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50A3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50A3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50A3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0A3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50A3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150A3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50A3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50A3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50A3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50A3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50A3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50A36"/>
    <w:rPr>
      <w:rFonts w:eastAsiaTheme="majorEastAsia" w:cstheme="majorBidi"/>
      <w:color w:val="272727" w:themeColor="text1" w:themeTint="D8"/>
    </w:rPr>
  </w:style>
  <w:style w:type="paragraph" w:styleId="Title">
    <w:name w:val="Title"/>
    <w:basedOn w:val="Normal"/>
    <w:next w:val="Normal"/>
    <w:link w:val="TitleChar"/>
    <w:uiPriority w:val="10"/>
    <w:qFormat/>
    <w:rsid w:val="00150A3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50A3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50A3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50A3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50A36"/>
    <w:pPr>
      <w:spacing w:before="160"/>
      <w:jc w:val="center"/>
    </w:pPr>
    <w:rPr>
      <w:i/>
      <w:iCs/>
      <w:color w:val="404040" w:themeColor="text1" w:themeTint="BF"/>
    </w:rPr>
  </w:style>
  <w:style w:type="character" w:customStyle="1" w:styleId="QuoteChar">
    <w:name w:val="Quote Char"/>
    <w:basedOn w:val="DefaultParagraphFont"/>
    <w:link w:val="Quote"/>
    <w:uiPriority w:val="29"/>
    <w:rsid w:val="00150A36"/>
    <w:rPr>
      <w:i/>
      <w:iCs/>
      <w:color w:val="404040" w:themeColor="text1" w:themeTint="BF"/>
    </w:rPr>
  </w:style>
  <w:style w:type="paragraph" w:styleId="ListParagraph">
    <w:name w:val="List Paragraph"/>
    <w:basedOn w:val="Normal"/>
    <w:uiPriority w:val="34"/>
    <w:qFormat/>
    <w:rsid w:val="00150A36"/>
    <w:pPr>
      <w:ind w:left="720"/>
      <w:contextualSpacing/>
    </w:pPr>
  </w:style>
  <w:style w:type="character" w:styleId="IntenseEmphasis">
    <w:name w:val="Intense Emphasis"/>
    <w:basedOn w:val="DefaultParagraphFont"/>
    <w:uiPriority w:val="21"/>
    <w:qFormat/>
    <w:rsid w:val="00150A36"/>
    <w:rPr>
      <w:i/>
      <w:iCs/>
      <w:color w:val="0F4761" w:themeColor="accent1" w:themeShade="BF"/>
    </w:rPr>
  </w:style>
  <w:style w:type="paragraph" w:styleId="IntenseQuote">
    <w:name w:val="Intense Quote"/>
    <w:basedOn w:val="Normal"/>
    <w:next w:val="Normal"/>
    <w:link w:val="IntenseQuoteChar"/>
    <w:uiPriority w:val="30"/>
    <w:qFormat/>
    <w:rsid w:val="00150A3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50A36"/>
    <w:rPr>
      <w:i/>
      <w:iCs/>
      <w:color w:val="0F4761" w:themeColor="accent1" w:themeShade="BF"/>
    </w:rPr>
  </w:style>
  <w:style w:type="character" w:styleId="IntenseReference">
    <w:name w:val="Intense Reference"/>
    <w:basedOn w:val="DefaultParagraphFont"/>
    <w:uiPriority w:val="32"/>
    <w:qFormat/>
    <w:rsid w:val="00150A36"/>
    <w:rPr>
      <w:b/>
      <w:bCs/>
      <w:smallCaps/>
      <w:color w:val="0F4761" w:themeColor="accent1" w:themeShade="BF"/>
      <w:spacing w:val="5"/>
    </w:rPr>
  </w:style>
  <w:style w:type="paragraph" w:styleId="NormalWeb">
    <w:name w:val="Normal (Web)"/>
    <w:basedOn w:val="Normal"/>
    <w:uiPriority w:val="99"/>
    <w:semiHidden/>
    <w:unhideWhenUsed/>
    <w:rsid w:val="00150A36"/>
    <w:pPr>
      <w:spacing w:before="100" w:beforeAutospacing="1" w:after="100" w:afterAutospacing="1" w:line="240" w:lineRule="auto"/>
    </w:pPr>
    <w:rPr>
      <w:rFonts w:ascii="Times New Roman" w:eastAsia="Times New Roman" w:hAnsi="Times New Roman" w:cs="Times New Roman"/>
      <w:kern w:val="0"/>
      <w:lang w:eastAsia="it-IT"/>
      <w14:ligatures w14:val="none"/>
    </w:rPr>
  </w:style>
  <w:style w:type="character" w:customStyle="1" w:styleId="apple-converted-space">
    <w:name w:val="apple-converted-space"/>
    <w:basedOn w:val="DefaultParagraphFont"/>
    <w:rsid w:val="00150A36"/>
  </w:style>
  <w:style w:type="character" w:styleId="Emphasis">
    <w:name w:val="Emphasis"/>
    <w:basedOn w:val="DefaultParagraphFont"/>
    <w:uiPriority w:val="20"/>
    <w:qFormat/>
    <w:rsid w:val="00150A36"/>
    <w:rPr>
      <w:i/>
      <w:iCs/>
    </w:rPr>
  </w:style>
  <w:style w:type="character" w:styleId="Strong">
    <w:name w:val="Strong"/>
    <w:basedOn w:val="DefaultParagraphFont"/>
    <w:uiPriority w:val="22"/>
    <w:qFormat/>
    <w:rsid w:val="00150A3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5268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1090</Words>
  <Characters>6219</Characters>
  <Application>Microsoft Office Word</Application>
  <DocSecurity>4</DocSecurity>
  <Lines>51</Lines>
  <Paragraphs>14</Paragraphs>
  <ScaleCrop>false</ScaleCrop>
  <Company/>
  <LinksUpToDate>false</LinksUpToDate>
  <CharactersWithSpaces>7295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AMBROSINO, GENNARO (PGR)</dc:creator>
  <cp:keywords/>
  <dc:description/>
  <cp:lastModifiedBy>Rae, Sue</cp:lastModifiedBy>
  <cp:revision>2</cp:revision>
  <dcterms:created xsi:type="dcterms:W3CDTF">2024-10-07T10:01:00Z</dcterms:created>
  <dcterms:modified xsi:type="dcterms:W3CDTF">2024-10-07T10:01:00Z</dcterms:modified>
</cp:coreProperties>
</file>