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4E1C" w:rsidRPr="00024E1C" w:rsidRDefault="00024E1C" w:rsidP="00024E1C">
      <w:pPr>
        <w:spacing w:after="0" w:line="240" w:lineRule="auto"/>
        <w:textAlignment w:val="baseline"/>
        <w:rPr>
          <w:rFonts w:ascii="Calibri" w:eastAsia="Times New Roman" w:hAnsi="Calibri" w:cs="Calibri"/>
          <w:color w:val="000000"/>
          <w:sz w:val="24"/>
          <w:szCs w:val="24"/>
          <w:lang w:eastAsia="en-GB"/>
        </w:rPr>
      </w:pPr>
      <w:r w:rsidRPr="00024E1C">
        <w:rPr>
          <w:rFonts w:ascii="inherit" w:eastAsia="Times New Roman" w:hAnsi="inherit" w:cs="Calibri"/>
          <w:b/>
          <w:bCs/>
          <w:color w:val="000000"/>
          <w:sz w:val="24"/>
          <w:szCs w:val="24"/>
          <w:bdr w:val="none" w:sz="0" w:space="0" w:color="auto" w:frame="1"/>
          <w:lang w:eastAsia="en-GB"/>
        </w:rPr>
        <w:t>The World in Your Hand: New Directions in Numismatic Research 3</w:t>
      </w:r>
      <w:r>
        <w:rPr>
          <w:rFonts w:ascii="inherit" w:eastAsia="Times New Roman" w:hAnsi="inherit" w:cs="Calibri"/>
          <w:b/>
          <w:bCs/>
          <w:color w:val="000000"/>
          <w:sz w:val="24"/>
          <w:szCs w:val="24"/>
          <w:bdr w:val="none" w:sz="0" w:space="0" w:color="auto" w:frame="1"/>
          <w:lang w:eastAsia="en-GB"/>
        </w:rPr>
        <w:t>rd</w:t>
      </w:r>
      <w:r w:rsidRPr="00024E1C">
        <w:rPr>
          <w:rFonts w:ascii="inherit" w:eastAsia="Times New Roman" w:hAnsi="inherit" w:cs="Calibri"/>
          <w:b/>
          <w:bCs/>
          <w:color w:val="000000"/>
          <w:sz w:val="24"/>
          <w:szCs w:val="24"/>
          <w:bdr w:val="none" w:sz="0" w:space="0" w:color="auto" w:frame="1"/>
          <w:lang w:eastAsia="en-GB"/>
        </w:rPr>
        <w:t xml:space="preserve"> April 2020</w:t>
      </w:r>
      <w:r w:rsidRPr="00024E1C">
        <w:rPr>
          <w:rFonts w:ascii="inherit" w:eastAsia="Times New Roman" w:hAnsi="inherit" w:cs="Calibri"/>
          <w:color w:val="000000"/>
          <w:sz w:val="24"/>
          <w:szCs w:val="24"/>
          <w:bdr w:val="none" w:sz="0" w:space="0" w:color="auto" w:frame="1"/>
          <w:lang w:eastAsia="en-GB"/>
        </w:rPr>
        <w:br/>
      </w:r>
      <w:bookmarkStart w:id="0" w:name="_GoBack"/>
      <w:bookmarkEnd w:id="0"/>
    </w:p>
    <w:p w:rsidR="00024E1C" w:rsidRPr="00024E1C" w:rsidRDefault="00024E1C" w:rsidP="00024E1C">
      <w:pPr>
        <w:spacing w:after="0" w:line="240" w:lineRule="auto"/>
        <w:textAlignment w:val="baseline"/>
        <w:rPr>
          <w:rFonts w:ascii="inherit" w:eastAsia="Times New Roman" w:hAnsi="inherit" w:cs="Calibri"/>
          <w:color w:val="000000"/>
          <w:sz w:val="24"/>
          <w:szCs w:val="24"/>
          <w:lang w:eastAsia="en-GB"/>
        </w:rPr>
      </w:pPr>
    </w:p>
    <w:p w:rsidR="00024E1C" w:rsidRPr="00024E1C" w:rsidRDefault="00024E1C" w:rsidP="00024E1C">
      <w:pPr>
        <w:spacing w:after="0" w:line="240" w:lineRule="auto"/>
        <w:textAlignment w:val="baseline"/>
        <w:rPr>
          <w:rFonts w:ascii="inherit" w:eastAsia="Times New Roman" w:hAnsi="inherit" w:cs="Calibri"/>
          <w:color w:val="000000"/>
          <w:sz w:val="24"/>
          <w:szCs w:val="24"/>
          <w:lang w:eastAsia="en-GB"/>
        </w:rPr>
      </w:pPr>
      <w:r w:rsidRPr="00024E1C">
        <w:rPr>
          <w:rFonts w:ascii="inherit" w:eastAsia="Times New Roman" w:hAnsi="inherit" w:cs="Calibri"/>
          <w:color w:val="000000"/>
          <w:sz w:val="24"/>
          <w:szCs w:val="24"/>
          <w:lang w:eastAsia="en-GB"/>
        </w:rPr>
        <w:t xml:space="preserve">As with many events this year, the planned conference and associated early career event led by Fleur </w:t>
      </w:r>
      <w:proofErr w:type="spellStart"/>
      <w:r w:rsidRPr="00024E1C">
        <w:rPr>
          <w:rFonts w:ascii="inherit" w:eastAsia="Times New Roman" w:hAnsi="inherit" w:cs="Calibri"/>
          <w:color w:val="000000"/>
          <w:sz w:val="24"/>
          <w:szCs w:val="24"/>
          <w:lang w:eastAsia="en-GB"/>
        </w:rPr>
        <w:t>Kemmers</w:t>
      </w:r>
      <w:proofErr w:type="spellEnd"/>
      <w:r w:rsidRPr="00024E1C">
        <w:rPr>
          <w:rFonts w:ascii="inherit" w:eastAsia="Times New Roman" w:hAnsi="inherit" w:cs="Calibri"/>
          <w:color w:val="000000"/>
          <w:sz w:val="24"/>
          <w:szCs w:val="24"/>
          <w:lang w:eastAsia="en-GB"/>
        </w:rPr>
        <w:t xml:space="preserve"> (HRC visiting speaker fund) was seriously affected by Covid-19. Charlotte Mann and I had been motivated to organise the event after we realised the severe absence of venues for early career scholars working in this field to present their research and gain feedback. Because of this we did not want to cancel the conference, but instead decided to transfer the event to </w:t>
      </w:r>
      <w:proofErr w:type="gramStart"/>
      <w:r w:rsidRPr="00024E1C">
        <w:rPr>
          <w:rFonts w:ascii="inherit" w:eastAsia="Times New Roman" w:hAnsi="inherit" w:cs="Calibri"/>
          <w:color w:val="000000"/>
          <w:sz w:val="24"/>
          <w:szCs w:val="24"/>
          <w:lang w:eastAsia="en-GB"/>
        </w:rPr>
        <w:t>Zoom</w:t>
      </w:r>
      <w:proofErr w:type="gramEnd"/>
      <w:r w:rsidRPr="00024E1C">
        <w:rPr>
          <w:rFonts w:ascii="inherit" w:eastAsia="Times New Roman" w:hAnsi="inherit" w:cs="Calibri"/>
          <w:color w:val="000000"/>
          <w:sz w:val="24"/>
          <w:szCs w:val="24"/>
          <w:lang w:eastAsia="en-GB"/>
        </w:rPr>
        <w:t xml:space="preserve"> (purchasing a licence from the HRC money for £23.98). </w:t>
      </w:r>
    </w:p>
    <w:p w:rsidR="00024E1C" w:rsidRPr="00024E1C" w:rsidRDefault="00024E1C" w:rsidP="00024E1C">
      <w:pPr>
        <w:spacing w:after="0" w:line="240" w:lineRule="auto"/>
        <w:textAlignment w:val="baseline"/>
        <w:rPr>
          <w:rFonts w:ascii="inherit" w:eastAsia="Times New Roman" w:hAnsi="inherit" w:cs="Calibri"/>
          <w:color w:val="000000"/>
          <w:sz w:val="24"/>
          <w:szCs w:val="24"/>
          <w:lang w:eastAsia="en-GB"/>
        </w:rPr>
      </w:pPr>
    </w:p>
    <w:p w:rsidR="00024E1C" w:rsidRPr="00024E1C" w:rsidRDefault="00024E1C" w:rsidP="00024E1C">
      <w:pPr>
        <w:spacing w:after="0" w:line="240" w:lineRule="auto"/>
        <w:textAlignment w:val="baseline"/>
        <w:rPr>
          <w:rFonts w:ascii="inherit" w:eastAsia="Times New Roman" w:hAnsi="inherit" w:cs="Calibri"/>
          <w:color w:val="000000"/>
          <w:sz w:val="24"/>
          <w:szCs w:val="24"/>
          <w:lang w:eastAsia="en-GB"/>
        </w:rPr>
      </w:pPr>
      <w:r w:rsidRPr="00024E1C">
        <w:rPr>
          <w:rFonts w:ascii="inherit" w:eastAsia="Times New Roman" w:hAnsi="inherit" w:cs="Calibri"/>
          <w:color w:val="000000"/>
          <w:sz w:val="24"/>
          <w:szCs w:val="24"/>
          <w:lang w:eastAsia="en-GB"/>
        </w:rPr>
        <w:t xml:space="preserve">The switch to an online event meant a rearrangement of the programme, since several speakers were not comfortable presenting online and/or were now unable to present due to lock down childcare commitments. Fleur </w:t>
      </w:r>
      <w:proofErr w:type="spellStart"/>
      <w:r w:rsidRPr="00024E1C">
        <w:rPr>
          <w:rFonts w:ascii="inherit" w:eastAsia="Times New Roman" w:hAnsi="inherit" w:cs="Calibri"/>
          <w:color w:val="000000"/>
          <w:sz w:val="24"/>
          <w:szCs w:val="24"/>
          <w:lang w:eastAsia="en-GB"/>
        </w:rPr>
        <w:t>Kemmers</w:t>
      </w:r>
      <w:proofErr w:type="spellEnd"/>
      <w:r w:rsidRPr="00024E1C">
        <w:rPr>
          <w:rFonts w:ascii="inherit" w:eastAsia="Times New Roman" w:hAnsi="inherit" w:cs="Calibri"/>
          <w:color w:val="000000"/>
          <w:sz w:val="24"/>
          <w:szCs w:val="24"/>
          <w:lang w:eastAsia="en-GB"/>
        </w:rPr>
        <w:t xml:space="preserve"> agreed to still provide her plenary address, although it was decided not to hold the ‘Applying for German Postdoctoral Funding’ event, since all involved felt attention should be on trying to make the conference as much as a success as possible, and </w:t>
      </w:r>
      <w:proofErr w:type="spellStart"/>
      <w:r w:rsidRPr="00024E1C">
        <w:rPr>
          <w:rFonts w:ascii="inherit" w:eastAsia="Times New Roman" w:hAnsi="inherit" w:cs="Calibri"/>
          <w:color w:val="000000"/>
          <w:sz w:val="24"/>
          <w:szCs w:val="24"/>
          <w:lang w:eastAsia="en-GB"/>
        </w:rPr>
        <w:t>Kemmers</w:t>
      </w:r>
      <w:proofErr w:type="spellEnd"/>
      <w:r w:rsidRPr="00024E1C">
        <w:rPr>
          <w:rFonts w:ascii="inherit" w:eastAsia="Times New Roman" w:hAnsi="inherit" w:cs="Calibri"/>
          <w:color w:val="000000"/>
          <w:sz w:val="24"/>
          <w:szCs w:val="24"/>
          <w:lang w:eastAsia="en-GB"/>
        </w:rPr>
        <w:t xml:space="preserve"> felt that event could not successful take place on Zoom in the same way as a conference. On the plus side, the re-advertised event gained a much larger audience than we could have anticipated, involving people from around the world - the entire Zoom allocation of 100 attendees was quickly filled and we had to close conference registration early. </w:t>
      </w:r>
    </w:p>
    <w:p w:rsidR="00024E1C" w:rsidRPr="00024E1C" w:rsidRDefault="00024E1C" w:rsidP="00024E1C">
      <w:pPr>
        <w:spacing w:after="0" w:line="240" w:lineRule="auto"/>
        <w:textAlignment w:val="baseline"/>
        <w:rPr>
          <w:rFonts w:ascii="inherit" w:eastAsia="Times New Roman" w:hAnsi="inherit" w:cs="Calibri"/>
          <w:color w:val="000000"/>
          <w:sz w:val="24"/>
          <w:szCs w:val="24"/>
          <w:lang w:eastAsia="en-GB"/>
        </w:rPr>
      </w:pPr>
    </w:p>
    <w:p w:rsidR="00024E1C" w:rsidRPr="00024E1C" w:rsidRDefault="00024E1C" w:rsidP="00024E1C">
      <w:pPr>
        <w:spacing w:after="0" w:line="240" w:lineRule="auto"/>
        <w:textAlignment w:val="baseline"/>
        <w:rPr>
          <w:rFonts w:ascii="Calibri" w:eastAsia="Times New Roman" w:hAnsi="Calibri" w:cs="Calibri"/>
          <w:color w:val="000000"/>
          <w:sz w:val="24"/>
          <w:szCs w:val="24"/>
          <w:lang w:eastAsia="en-GB"/>
        </w:rPr>
      </w:pPr>
      <w:r w:rsidRPr="00024E1C">
        <w:rPr>
          <w:rFonts w:ascii="inherit" w:eastAsia="Times New Roman" w:hAnsi="inherit" w:cs="Calibri"/>
          <w:color w:val="000000"/>
          <w:sz w:val="24"/>
          <w:szCs w:val="24"/>
          <w:bdr w:val="none" w:sz="0" w:space="0" w:color="auto" w:frame="1"/>
          <w:lang w:eastAsia="en-GB"/>
        </w:rPr>
        <w:t xml:space="preserve">Although the platform did not enable mingling and networking to the same extent as one would find in a physical conference, the day went extremely well, with all papers presented and only minor technical hitches. The use of the chat function on Zoom enabled an excellent discussion to take place, and this discussion continued via email between many of the participants after the event was over. Many of the speakers and attendees expressed their gratitude that we managed to enable the event to go ahead, particularly since so many other events had been cancelled. The papers covered topics from iconography in antiquity to 19th century prize medal art, exploring the contribution of coinage to economics, visual culture, </w:t>
      </w:r>
      <w:proofErr w:type="gramStart"/>
      <w:r w:rsidRPr="00024E1C">
        <w:rPr>
          <w:rFonts w:ascii="inherit" w:eastAsia="Times New Roman" w:hAnsi="inherit" w:cs="Calibri"/>
          <w:color w:val="000000"/>
          <w:sz w:val="24"/>
          <w:szCs w:val="24"/>
          <w:bdr w:val="none" w:sz="0" w:space="0" w:color="auto" w:frame="1"/>
          <w:lang w:eastAsia="en-GB"/>
        </w:rPr>
        <w:t>propaganda</w:t>
      </w:r>
      <w:proofErr w:type="gramEnd"/>
      <w:r w:rsidRPr="00024E1C">
        <w:rPr>
          <w:rFonts w:ascii="inherit" w:eastAsia="Times New Roman" w:hAnsi="inherit" w:cs="Calibri"/>
          <w:color w:val="000000"/>
          <w:sz w:val="24"/>
          <w:szCs w:val="24"/>
          <w:bdr w:val="none" w:sz="0" w:space="0" w:color="auto" w:frame="1"/>
          <w:lang w:eastAsia="en-GB"/>
        </w:rPr>
        <w:t xml:space="preserve">, concepts of the male body, religion and cultural identity. </w:t>
      </w:r>
      <w:r w:rsidRPr="00024E1C">
        <w:rPr>
          <w:rFonts w:ascii="inherit" w:eastAsia="Times New Roman" w:hAnsi="inherit" w:cs="Calibri"/>
          <w:color w:val="000000"/>
          <w:sz w:val="24"/>
          <w:szCs w:val="24"/>
          <w:bdr w:val="none" w:sz="0" w:space="0" w:color="auto" w:frame="1"/>
          <w:lang w:eastAsia="en-GB"/>
        </w:rPr>
        <w:br/>
      </w:r>
    </w:p>
    <w:p w:rsidR="00024E1C" w:rsidRPr="00024E1C" w:rsidRDefault="00024E1C" w:rsidP="00024E1C">
      <w:pPr>
        <w:spacing w:after="0" w:line="240" w:lineRule="auto"/>
        <w:textAlignment w:val="baseline"/>
        <w:rPr>
          <w:rFonts w:ascii="Calibri" w:eastAsia="Times New Roman" w:hAnsi="Calibri" w:cs="Calibri"/>
          <w:color w:val="000000"/>
          <w:sz w:val="24"/>
          <w:szCs w:val="24"/>
          <w:lang w:eastAsia="en-GB"/>
        </w:rPr>
      </w:pPr>
      <w:r w:rsidRPr="00024E1C">
        <w:rPr>
          <w:rFonts w:ascii="inherit" w:eastAsia="Times New Roman" w:hAnsi="inherit" w:cs="Calibri"/>
          <w:color w:val="000000"/>
          <w:sz w:val="24"/>
          <w:szCs w:val="24"/>
          <w:bdr w:val="none" w:sz="0" w:space="0" w:color="auto" w:frame="1"/>
          <w:lang w:eastAsia="en-GB"/>
        </w:rPr>
        <w:br/>
      </w:r>
    </w:p>
    <w:p w:rsidR="00024E1C" w:rsidRPr="00024E1C" w:rsidRDefault="00024E1C" w:rsidP="00024E1C">
      <w:pPr>
        <w:spacing w:after="0" w:line="240" w:lineRule="auto"/>
        <w:textAlignment w:val="baseline"/>
        <w:rPr>
          <w:rFonts w:ascii="Calibri" w:eastAsia="Times New Roman" w:hAnsi="Calibri" w:cs="Calibri"/>
          <w:color w:val="000000"/>
          <w:sz w:val="24"/>
          <w:szCs w:val="24"/>
          <w:lang w:eastAsia="en-GB"/>
        </w:rPr>
      </w:pPr>
      <w:r w:rsidRPr="00024E1C">
        <w:rPr>
          <w:rFonts w:ascii="inherit" w:eastAsia="Times New Roman" w:hAnsi="inherit" w:cs="Calibri"/>
          <w:color w:val="000000"/>
          <w:sz w:val="24"/>
          <w:szCs w:val="24"/>
          <w:bdr w:val="none" w:sz="0" w:space="0" w:color="auto" w:frame="1"/>
          <w:lang w:eastAsia="en-GB"/>
        </w:rPr>
        <w:t xml:space="preserve">More information on the conference can be found at </w:t>
      </w:r>
      <w:hyperlink r:id="rId4" w:tgtFrame="_blank" w:history="1">
        <w:r w:rsidRPr="00024E1C">
          <w:rPr>
            <w:rFonts w:ascii="inherit" w:eastAsia="Times New Roman" w:hAnsi="inherit" w:cs="Calibri"/>
            <w:color w:val="0000FF"/>
            <w:sz w:val="24"/>
            <w:szCs w:val="24"/>
            <w:u w:val="single"/>
            <w:bdr w:val="none" w:sz="0" w:space="0" w:color="auto" w:frame="1"/>
            <w:lang w:eastAsia="en-GB"/>
          </w:rPr>
          <w:t>https://warwick.ac.uk/fac/arts/classics/research/interests/numismatics/numismaticday/numismaticworld/</w:t>
        </w:r>
      </w:hyperlink>
    </w:p>
    <w:p w:rsidR="00024E1C" w:rsidRPr="00024E1C" w:rsidRDefault="00024E1C" w:rsidP="00024E1C">
      <w:pPr>
        <w:spacing w:after="0" w:line="240" w:lineRule="auto"/>
        <w:rPr>
          <w:rFonts w:ascii="Times New Roman" w:eastAsia="Times New Roman" w:hAnsi="Times New Roman" w:cs="Times New Roman"/>
          <w:sz w:val="24"/>
          <w:szCs w:val="24"/>
          <w:lang w:eastAsia="en-GB"/>
        </w:rPr>
      </w:pPr>
    </w:p>
    <w:p w:rsidR="00024E1C" w:rsidRPr="00024E1C" w:rsidRDefault="00024E1C" w:rsidP="00024E1C">
      <w:pPr>
        <w:spacing w:after="0" w:line="240" w:lineRule="auto"/>
        <w:textAlignment w:val="baseline"/>
        <w:rPr>
          <w:rFonts w:ascii="Calibri" w:eastAsia="Times New Roman" w:hAnsi="Calibri" w:cs="Calibri"/>
          <w:color w:val="000000"/>
          <w:sz w:val="24"/>
          <w:szCs w:val="24"/>
          <w:lang w:eastAsia="en-GB"/>
        </w:rPr>
      </w:pPr>
    </w:p>
    <w:p w:rsidR="00024E1C" w:rsidRPr="00024E1C" w:rsidRDefault="00024E1C" w:rsidP="00024E1C">
      <w:pPr>
        <w:shd w:val="clear" w:color="auto" w:fill="FFFFFF"/>
        <w:spacing w:after="0" w:line="240" w:lineRule="auto"/>
        <w:textAlignment w:val="baseline"/>
        <w:rPr>
          <w:rFonts w:ascii="Tahoma" w:eastAsia="Times New Roman" w:hAnsi="Tahoma" w:cs="Tahoma"/>
          <w:color w:val="000000"/>
          <w:sz w:val="20"/>
          <w:szCs w:val="20"/>
          <w:lang w:eastAsia="en-GB"/>
        </w:rPr>
      </w:pPr>
      <w:r w:rsidRPr="00024E1C">
        <w:rPr>
          <w:rFonts w:ascii="Tahoma" w:eastAsia="Times New Roman" w:hAnsi="Tahoma" w:cs="Tahoma"/>
          <w:color w:val="000000"/>
          <w:sz w:val="20"/>
          <w:szCs w:val="20"/>
          <w:lang w:eastAsia="en-GB"/>
        </w:rPr>
        <w:t>Clare Rowan</w:t>
      </w:r>
      <w:r w:rsidRPr="00024E1C">
        <w:rPr>
          <w:rFonts w:ascii="Tahoma" w:eastAsia="Times New Roman" w:hAnsi="Tahoma" w:cs="Tahoma"/>
          <w:color w:val="000000"/>
          <w:sz w:val="20"/>
          <w:szCs w:val="20"/>
          <w:lang w:eastAsia="en-GB"/>
        </w:rPr>
        <w:br/>
      </w:r>
      <w:r w:rsidRPr="00024E1C">
        <w:rPr>
          <w:rFonts w:ascii="Tahoma" w:eastAsia="Times New Roman" w:hAnsi="Tahoma" w:cs="Tahoma"/>
          <w:color w:val="000000"/>
          <w:sz w:val="20"/>
          <w:szCs w:val="20"/>
          <w:lang w:eastAsia="en-GB"/>
        </w:rPr>
        <w:br/>
        <w:t>Department of Classics and Ancient History</w:t>
      </w:r>
    </w:p>
    <w:p w:rsidR="003F7B16" w:rsidRDefault="003F7B16"/>
    <w:sectPr w:rsidR="003F7B1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4E1C"/>
    <w:rsid w:val="00024E1C"/>
    <w:rsid w:val="003F7B16"/>
    <w:rsid w:val="009714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845E0D"/>
  <w15:chartTrackingRefBased/>
  <w15:docId w15:val="{6D520E45-1611-4166-BC16-3099E0B4C5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4998319">
      <w:bodyDiv w:val="1"/>
      <w:marLeft w:val="0"/>
      <w:marRight w:val="0"/>
      <w:marTop w:val="0"/>
      <w:marBottom w:val="0"/>
      <w:divBdr>
        <w:top w:val="none" w:sz="0" w:space="0" w:color="auto"/>
        <w:left w:val="none" w:sz="0" w:space="0" w:color="auto"/>
        <w:bottom w:val="none" w:sz="0" w:space="0" w:color="auto"/>
        <w:right w:val="none" w:sz="0" w:space="0" w:color="auto"/>
      </w:divBdr>
      <w:divsChild>
        <w:div w:id="1940485926">
          <w:marLeft w:val="0"/>
          <w:marRight w:val="0"/>
          <w:marTop w:val="0"/>
          <w:marBottom w:val="0"/>
          <w:divBdr>
            <w:top w:val="none" w:sz="0" w:space="0" w:color="auto"/>
            <w:left w:val="none" w:sz="0" w:space="0" w:color="auto"/>
            <w:bottom w:val="none" w:sz="0" w:space="0" w:color="auto"/>
            <w:right w:val="none" w:sz="0" w:space="0" w:color="auto"/>
          </w:divBdr>
        </w:div>
        <w:div w:id="234240501">
          <w:marLeft w:val="0"/>
          <w:marRight w:val="0"/>
          <w:marTop w:val="0"/>
          <w:marBottom w:val="0"/>
          <w:divBdr>
            <w:top w:val="none" w:sz="0" w:space="0" w:color="auto"/>
            <w:left w:val="none" w:sz="0" w:space="0" w:color="auto"/>
            <w:bottom w:val="none" w:sz="0" w:space="0" w:color="auto"/>
            <w:right w:val="none" w:sz="0" w:space="0" w:color="auto"/>
          </w:divBdr>
        </w:div>
        <w:div w:id="1942948814">
          <w:marLeft w:val="0"/>
          <w:marRight w:val="0"/>
          <w:marTop w:val="0"/>
          <w:marBottom w:val="0"/>
          <w:divBdr>
            <w:top w:val="none" w:sz="0" w:space="0" w:color="auto"/>
            <w:left w:val="none" w:sz="0" w:space="0" w:color="auto"/>
            <w:bottom w:val="none" w:sz="0" w:space="0" w:color="auto"/>
            <w:right w:val="none" w:sz="0" w:space="0" w:color="auto"/>
          </w:divBdr>
        </w:div>
        <w:div w:id="2074505795">
          <w:marLeft w:val="0"/>
          <w:marRight w:val="0"/>
          <w:marTop w:val="0"/>
          <w:marBottom w:val="0"/>
          <w:divBdr>
            <w:top w:val="none" w:sz="0" w:space="0" w:color="auto"/>
            <w:left w:val="none" w:sz="0" w:space="0" w:color="auto"/>
            <w:bottom w:val="none" w:sz="0" w:space="0" w:color="auto"/>
            <w:right w:val="none" w:sz="0" w:space="0" w:color="auto"/>
          </w:divBdr>
        </w:div>
        <w:div w:id="804615278">
          <w:marLeft w:val="0"/>
          <w:marRight w:val="0"/>
          <w:marTop w:val="0"/>
          <w:marBottom w:val="0"/>
          <w:divBdr>
            <w:top w:val="none" w:sz="0" w:space="0" w:color="auto"/>
            <w:left w:val="none" w:sz="0" w:space="0" w:color="auto"/>
            <w:bottom w:val="none" w:sz="0" w:space="0" w:color="auto"/>
            <w:right w:val="none" w:sz="0" w:space="0" w:color="auto"/>
          </w:divBdr>
        </w:div>
        <w:div w:id="1503885513">
          <w:marLeft w:val="0"/>
          <w:marRight w:val="0"/>
          <w:marTop w:val="0"/>
          <w:marBottom w:val="0"/>
          <w:divBdr>
            <w:top w:val="none" w:sz="0" w:space="0" w:color="auto"/>
            <w:left w:val="none" w:sz="0" w:space="0" w:color="auto"/>
            <w:bottom w:val="none" w:sz="0" w:space="0" w:color="auto"/>
            <w:right w:val="none" w:sz="0" w:space="0" w:color="auto"/>
          </w:divBdr>
        </w:div>
        <w:div w:id="1325746490">
          <w:marLeft w:val="0"/>
          <w:marRight w:val="0"/>
          <w:marTop w:val="0"/>
          <w:marBottom w:val="0"/>
          <w:divBdr>
            <w:top w:val="none" w:sz="0" w:space="0" w:color="auto"/>
            <w:left w:val="none" w:sz="0" w:space="0" w:color="auto"/>
            <w:bottom w:val="none" w:sz="0" w:space="0" w:color="auto"/>
            <w:right w:val="none" w:sz="0" w:space="0" w:color="auto"/>
          </w:divBdr>
          <w:divsChild>
            <w:div w:id="1986547209">
              <w:marLeft w:val="0"/>
              <w:marRight w:val="0"/>
              <w:marTop w:val="0"/>
              <w:marBottom w:val="0"/>
              <w:divBdr>
                <w:top w:val="none" w:sz="0" w:space="0" w:color="auto"/>
                <w:left w:val="none" w:sz="0" w:space="0" w:color="auto"/>
                <w:bottom w:val="none" w:sz="0" w:space="0" w:color="auto"/>
                <w:right w:val="none" w:sz="0" w:space="0" w:color="auto"/>
              </w:divBdr>
              <w:divsChild>
                <w:div w:id="1503663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arwick.ac.uk/fac/arts/classics/research/interests/numismatics/numismaticday/numismaticworl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E3C8117</Template>
  <TotalTime>1</TotalTime>
  <Pages>1</Pages>
  <Words>385</Words>
  <Characters>2201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Rae, Sue</dc:creator>
  <cp:keywords/>
  <dc:description/>
  <cp:lastModifiedBy>Rae, Sue</cp:lastModifiedBy>
  <cp:revision>1</cp:revision>
  <dcterms:created xsi:type="dcterms:W3CDTF">2020-06-03T13:51:00Z</dcterms:created>
  <dcterms:modified xsi:type="dcterms:W3CDTF">2020-06-03T13:52:00Z</dcterms:modified>
</cp:coreProperties>
</file>