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D40140" w14:textId="242902A8" w:rsidR="6475F536" w:rsidRPr="00587CA1" w:rsidRDefault="6475F536" w:rsidP="00D301C9">
      <w:pPr>
        <w:spacing w:after="0" w:line="240" w:lineRule="auto"/>
        <w:rPr>
          <w:sz w:val="20"/>
          <w:szCs w:val="20"/>
        </w:rPr>
      </w:pPr>
      <w:r w:rsidRPr="00587CA1">
        <w:rPr>
          <w:rFonts w:ascii="Calibri" w:eastAsia="Calibri" w:hAnsi="Calibri" w:cs="Calibri"/>
          <w:sz w:val="20"/>
          <w:szCs w:val="20"/>
        </w:rPr>
        <w:t>Uses and Abuses of the Decolonial</w:t>
      </w:r>
      <w:r w:rsidRPr="00587CA1">
        <w:rPr>
          <w:sz w:val="20"/>
          <w:szCs w:val="20"/>
        </w:rPr>
        <w:br/>
      </w:r>
      <w:r w:rsidRPr="00587CA1">
        <w:rPr>
          <w:rFonts w:ascii="Calibri" w:eastAsia="Calibri" w:hAnsi="Calibri" w:cs="Calibri"/>
          <w:sz w:val="20"/>
          <w:szCs w:val="20"/>
        </w:rPr>
        <w:t>Saturday, May 17, 2025</w:t>
      </w:r>
    </w:p>
    <w:p w14:paraId="555D453F" w14:textId="70B85687" w:rsidR="6475F536" w:rsidRPr="00587CA1" w:rsidRDefault="6475F536" w:rsidP="00D301C9">
      <w:pPr>
        <w:spacing w:before="240" w:after="240" w:line="240" w:lineRule="auto"/>
        <w:rPr>
          <w:sz w:val="20"/>
          <w:szCs w:val="20"/>
        </w:rPr>
      </w:pPr>
      <w:r w:rsidRPr="00587CA1">
        <w:rPr>
          <w:rFonts w:ascii="Calibri" w:eastAsia="Calibri" w:hAnsi="Calibri" w:cs="Calibri"/>
          <w:sz w:val="20"/>
          <w:szCs w:val="20"/>
        </w:rPr>
        <w:t xml:space="preserve">This in-person conference provided a forum to critically engage with the concept of the decolonial, examining both its potential to address contemporary social, political, and cultural challenges, and the ways in which it has been misused, </w:t>
      </w:r>
      <w:proofErr w:type="spellStart"/>
      <w:r w:rsidRPr="00587CA1">
        <w:rPr>
          <w:rFonts w:ascii="Calibri" w:eastAsia="Calibri" w:hAnsi="Calibri" w:cs="Calibri"/>
          <w:sz w:val="20"/>
          <w:szCs w:val="20"/>
        </w:rPr>
        <w:t>trivialised</w:t>
      </w:r>
      <w:proofErr w:type="spellEnd"/>
      <w:r w:rsidRPr="00587CA1">
        <w:rPr>
          <w:rFonts w:ascii="Calibri" w:eastAsia="Calibri" w:hAnsi="Calibri" w:cs="Calibri"/>
          <w:sz w:val="20"/>
          <w:szCs w:val="20"/>
        </w:rPr>
        <w:t>, or appropriated in reactionary forms across public discourse, policy, cultural practices, and theory. Thirty delegates registered, though actual attendance was slightly higher.</w:t>
      </w:r>
    </w:p>
    <w:p w14:paraId="33C201D2" w14:textId="5D604D8A" w:rsidR="6475F536" w:rsidRPr="00587CA1" w:rsidRDefault="6475F536" w:rsidP="00D301C9">
      <w:pPr>
        <w:spacing w:before="240" w:after="240" w:line="240" w:lineRule="auto"/>
        <w:rPr>
          <w:sz w:val="20"/>
          <w:szCs w:val="20"/>
        </w:rPr>
      </w:pPr>
      <w:r w:rsidRPr="00587CA1">
        <w:rPr>
          <w:rFonts w:ascii="Calibri" w:eastAsia="Calibri" w:hAnsi="Calibri" w:cs="Calibri"/>
          <w:sz w:val="20"/>
          <w:szCs w:val="20"/>
        </w:rPr>
        <w:t xml:space="preserve">The keynote address, titled </w:t>
      </w:r>
      <w:r w:rsidRPr="00587CA1">
        <w:rPr>
          <w:rFonts w:ascii="Calibri" w:eastAsia="Calibri" w:hAnsi="Calibri" w:cs="Calibri"/>
          <w:i/>
          <w:iCs/>
          <w:sz w:val="20"/>
          <w:szCs w:val="20"/>
        </w:rPr>
        <w:t>“Critiques of the Decolonial: Between Polemics and Scholarly Debate”</w:t>
      </w:r>
      <w:r w:rsidRPr="00587CA1">
        <w:rPr>
          <w:rFonts w:ascii="Calibri" w:eastAsia="Calibri" w:hAnsi="Calibri" w:cs="Calibri"/>
          <w:sz w:val="20"/>
          <w:szCs w:val="20"/>
        </w:rPr>
        <w:t xml:space="preserve">, was delivered by Professor David Lehmann. In addition, the conference featured eight papers presented by nine speakers (two papers were co-authored and one co-presented), representing institutions from across the UK and </w:t>
      </w:r>
      <w:r w:rsidR="00D301C9" w:rsidRPr="00587CA1">
        <w:rPr>
          <w:rFonts w:ascii="Calibri" w:eastAsia="Calibri" w:hAnsi="Calibri" w:cs="Calibri"/>
          <w:sz w:val="20"/>
          <w:szCs w:val="20"/>
        </w:rPr>
        <w:t xml:space="preserve">Europe, </w:t>
      </w:r>
      <w:r w:rsidRPr="00587CA1">
        <w:rPr>
          <w:rFonts w:ascii="Calibri" w:eastAsia="Calibri" w:hAnsi="Calibri" w:cs="Calibri"/>
          <w:sz w:val="20"/>
          <w:szCs w:val="20"/>
        </w:rPr>
        <w:t>including speakers from Vrije Universiteit Brussel and the Autonomous University of Barcelona. The papers covered diverse disciplines, including political science and theory, entrepreneurship, international relations, museum studies and cultural heritage, digital art and visual anthropology, literary studies, and pedagogy.</w:t>
      </w:r>
    </w:p>
    <w:p w14:paraId="4ACCC093" w14:textId="65C032FF" w:rsidR="6475F536" w:rsidRPr="00587CA1" w:rsidRDefault="6475F536" w:rsidP="00D301C9">
      <w:pPr>
        <w:spacing w:before="240" w:after="240" w:line="240" w:lineRule="auto"/>
        <w:rPr>
          <w:rFonts w:ascii="Calibri" w:eastAsia="Calibri" w:hAnsi="Calibri" w:cs="Calibri"/>
          <w:sz w:val="20"/>
          <w:szCs w:val="20"/>
        </w:rPr>
      </w:pPr>
      <w:r w:rsidRPr="00587CA1">
        <w:rPr>
          <w:rFonts w:ascii="Calibri" w:eastAsia="Calibri" w:hAnsi="Calibri" w:cs="Calibri"/>
          <w:sz w:val="20"/>
          <w:szCs w:val="20"/>
        </w:rPr>
        <w:t>These papers were organized into three sessions:</w:t>
      </w:r>
    </w:p>
    <w:p w14:paraId="1AC918F8" w14:textId="2A5BFD88" w:rsidR="6475F536" w:rsidRPr="00587CA1" w:rsidRDefault="6475F536" w:rsidP="00D301C9">
      <w:pPr>
        <w:pStyle w:val="ListParagraph"/>
        <w:numPr>
          <w:ilvl w:val="0"/>
          <w:numId w:val="1"/>
        </w:numPr>
        <w:spacing w:before="240" w:after="240" w:line="240" w:lineRule="auto"/>
        <w:rPr>
          <w:rFonts w:ascii="Calibri" w:eastAsia="Calibri" w:hAnsi="Calibri" w:cs="Calibri"/>
          <w:sz w:val="20"/>
          <w:szCs w:val="20"/>
        </w:rPr>
      </w:pPr>
      <w:r w:rsidRPr="00587CA1">
        <w:rPr>
          <w:rFonts w:ascii="Calibri" w:eastAsia="Calibri" w:hAnsi="Calibri" w:cs="Calibri"/>
          <w:sz w:val="20"/>
          <w:szCs w:val="20"/>
        </w:rPr>
        <w:t xml:space="preserve">Interrogating Decolonial Theory, chaired by the conference </w:t>
      </w:r>
      <w:proofErr w:type="spellStart"/>
      <w:r w:rsidRPr="00587CA1">
        <w:rPr>
          <w:rFonts w:ascii="Calibri" w:eastAsia="Calibri" w:hAnsi="Calibri" w:cs="Calibri"/>
          <w:sz w:val="20"/>
          <w:szCs w:val="20"/>
        </w:rPr>
        <w:t>organi</w:t>
      </w:r>
      <w:r w:rsidR="3040D246" w:rsidRPr="00587CA1">
        <w:rPr>
          <w:rFonts w:ascii="Calibri" w:eastAsia="Calibri" w:hAnsi="Calibri" w:cs="Calibri"/>
          <w:sz w:val="20"/>
          <w:szCs w:val="20"/>
        </w:rPr>
        <w:t>s</w:t>
      </w:r>
      <w:r w:rsidRPr="00587CA1">
        <w:rPr>
          <w:rFonts w:ascii="Calibri" w:eastAsia="Calibri" w:hAnsi="Calibri" w:cs="Calibri"/>
          <w:sz w:val="20"/>
          <w:szCs w:val="20"/>
        </w:rPr>
        <w:t>er</w:t>
      </w:r>
      <w:proofErr w:type="spellEnd"/>
      <w:r w:rsidRPr="00587CA1">
        <w:rPr>
          <w:rFonts w:ascii="Calibri" w:eastAsia="Calibri" w:hAnsi="Calibri" w:cs="Calibri"/>
          <w:sz w:val="20"/>
          <w:szCs w:val="20"/>
        </w:rPr>
        <w:t xml:space="preserve"> Julián </w:t>
      </w:r>
      <w:proofErr w:type="spellStart"/>
      <w:r w:rsidRPr="00587CA1">
        <w:rPr>
          <w:rFonts w:ascii="Calibri" w:eastAsia="Calibri" w:hAnsi="Calibri" w:cs="Calibri"/>
          <w:sz w:val="20"/>
          <w:szCs w:val="20"/>
        </w:rPr>
        <w:t>Harruch</w:t>
      </w:r>
      <w:proofErr w:type="spellEnd"/>
    </w:p>
    <w:p w14:paraId="666DABB6" w14:textId="0C82CAB6" w:rsidR="6475F536" w:rsidRPr="00587CA1" w:rsidRDefault="6475F536" w:rsidP="00D301C9">
      <w:pPr>
        <w:pStyle w:val="ListParagraph"/>
        <w:numPr>
          <w:ilvl w:val="0"/>
          <w:numId w:val="1"/>
        </w:numPr>
        <w:spacing w:before="240" w:after="240" w:line="240" w:lineRule="auto"/>
        <w:rPr>
          <w:rFonts w:ascii="Calibri" w:eastAsia="Calibri" w:hAnsi="Calibri" w:cs="Calibri"/>
          <w:sz w:val="20"/>
          <w:szCs w:val="20"/>
        </w:rPr>
      </w:pPr>
      <w:r w:rsidRPr="00587CA1">
        <w:rPr>
          <w:rFonts w:ascii="Calibri" w:eastAsia="Calibri" w:hAnsi="Calibri" w:cs="Calibri"/>
          <w:sz w:val="20"/>
          <w:szCs w:val="20"/>
        </w:rPr>
        <w:t>Confronting Imperial Legacies, chaired by SMLC PhD student Malvika Nair</w:t>
      </w:r>
    </w:p>
    <w:p w14:paraId="523376FE" w14:textId="3D48A7B2" w:rsidR="6475F536" w:rsidRPr="00587CA1" w:rsidRDefault="6475F536" w:rsidP="00D301C9">
      <w:pPr>
        <w:pStyle w:val="ListParagraph"/>
        <w:numPr>
          <w:ilvl w:val="0"/>
          <w:numId w:val="1"/>
        </w:numPr>
        <w:spacing w:before="240" w:after="240" w:line="240" w:lineRule="auto"/>
        <w:rPr>
          <w:rFonts w:ascii="Calibri" w:eastAsia="Calibri" w:hAnsi="Calibri" w:cs="Calibri"/>
          <w:sz w:val="20"/>
          <w:szCs w:val="20"/>
        </w:rPr>
      </w:pPr>
      <w:r w:rsidRPr="00587CA1">
        <w:rPr>
          <w:rFonts w:ascii="Calibri" w:eastAsia="Calibri" w:hAnsi="Calibri" w:cs="Calibri"/>
          <w:sz w:val="20"/>
          <w:szCs w:val="20"/>
        </w:rPr>
        <w:t>Decolonial Pedagogies and Research Methodologies, chaired by Dr. Esteban Catalán, STP at the SMLC</w:t>
      </w:r>
    </w:p>
    <w:p w14:paraId="12FF91D1" w14:textId="231A6A01" w:rsidR="6475F536" w:rsidRPr="00587CA1" w:rsidRDefault="6475F536" w:rsidP="00D301C9">
      <w:pPr>
        <w:spacing w:before="240" w:after="240" w:line="240" w:lineRule="auto"/>
        <w:rPr>
          <w:rFonts w:ascii="Calibri" w:eastAsia="Calibri" w:hAnsi="Calibri" w:cs="Calibri"/>
          <w:sz w:val="20"/>
          <w:szCs w:val="20"/>
        </w:rPr>
      </w:pPr>
      <w:r w:rsidRPr="00587CA1">
        <w:rPr>
          <w:rFonts w:ascii="Calibri" w:eastAsia="Calibri" w:hAnsi="Calibri" w:cs="Calibri"/>
          <w:sz w:val="20"/>
          <w:szCs w:val="20"/>
        </w:rPr>
        <w:t xml:space="preserve">Nine of the ten speakers selected through the call for papers were women, and all speakers </w:t>
      </w:r>
      <w:r w:rsidR="531308A9" w:rsidRPr="00587CA1">
        <w:rPr>
          <w:rFonts w:ascii="Calibri" w:eastAsia="Calibri" w:hAnsi="Calibri" w:cs="Calibri"/>
          <w:sz w:val="20"/>
          <w:szCs w:val="20"/>
        </w:rPr>
        <w:t>come from</w:t>
      </w:r>
      <w:r w:rsidRPr="00587CA1">
        <w:rPr>
          <w:rFonts w:ascii="Calibri" w:eastAsia="Calibri" w:hAnsi="Calibri" w:cs="Calibri"/>
          <w:sz w:val="20"/>
          <w:szCs w:val="20"/>
        </w:rPr>
        <w:t xml:space="preserve"> </w:t>
      </w:r>
      <w:r w:rsidR="7D2C74C3" w:rsidRPr="00587CA1">
        <w:rPr>
          <w:rFonts w:ascii="Calibri" w:eastAsia="Calibri" w:hAnsi="Calibri" w:cs="Calibri"/>
          <w:sz w:val="20"/>
          <w:szCs w:val="20"/>
        </w:rPr>
        <w:t>different national</w:t>
      </w:r>
      <w:r w:rsidRPr="00587CA1">
        <w:rPr>
          <w:rFonts w:ascii="Calibri" w:eastAsia="Calibri" w:hAnsi="Calibri" w:cs="Calibri"/>
          <w:sz w:val="20"/>
          <w:szCs w:val="20"/>
        </w:rPr>
        <w:t xml:space="preserve"> backgrounds.</w:t>
      </w:r>
    </w:p>
    <w:p w14:paraId="329EADF5" w14:textId="1AB58549" w:rsidR="6475F536" w:rsidRPr="00587CA1" w:rsidRDefault="6475F536" w:rsidP="00D301C9">
      <w:pPr>
        <w:spacing w:before="240" w:after="240" w:line="240" w:lineRule="auto"/>
        <w:rPr>
          <w:sz w:val="20"/>
          <w:szCs w:val="20"/>
        </w:rPr>
      </w:pPr>
      <w:r w:rsidRPr="00587CA1">
        <w:rPr>
          <w:rFonts w:ascii="Calibri" w:eastAsia="Calibri" w:hAnsi="Calibri" w:cs="Calibri"/>
          <w:sz w:val="20"/>
          <w:szCs w:val="20"/>
        </w:rPr>
        <w:t xml:space="preserve">Throughout the day, the conference showcased a diversity of perspectives on decolonial thought. It successfully fostered a dynamic of respectful yet rigorous debate, with speakers holding differing—and at times opposing—views on the strengths and limitations of decolonial discourse. While all agreed on the importance of confronting ethnocentrism and enduring colonial legacies, some warned of the ethnonationalist </w:t>
      </w:r>
      <w:r w:rsidR="6FC60612" w:rsidRPr="00587CA1">
        <w:rPr>
          <w:rFonts w:ascii="Calibri" w:eastAsia="Calibri" w:hAnsi="Calibri" w:cs="Calibri"/>
          <w:sz w:val="20"/>
          <w:szCs w:val="20"/>
        </w:rPr>
        <w:t>appropriation</w:t>
      </w:r>
      <w:r w:rsidRPr="00587CA1">
        <w:rPr>
          <w:rFonts w:ascii="Calibri" w:eastAsia="Calibri" w:hAnsi="Calibri" w:cs="Calibri"/>
          <w:sz w:val="20"/>
          <w:szCs w:val="20"/>
        </w:rPr>
        <w:t xml:space="preserve"> of decolonial rhetoric and critiqued its susceptibility to simplistic </w:t>
      </w:r>
      <w:proofErr w:type="spellStart"/>
      <w:r w:rsidRPr="00587CA1">
        <w:rPr>
          <w:rFonts w:ascii="Calibri" w:eastAsia="Calibri" w:hAnsi="Calibri" w:cs="Calibri"/>
          <w:sz w:val="20"/>
          <w:szCs w:val="20"/>
        </w:rPr>
        <w:t>civili</w:t>
      </w:r>
      <w:r w:rsidR="014E0A31" w:rsidRPr="00587CA1">
        <w:rPr>
          <w:rFonts w:ascii="Calibri" w:eastAsia="Calibri" w:hAnsi="Calibri" w:cs="Calibri"/>
          <w:sz w:val="20"/>
          <w:szCs w:val="20"/>
        </w:rPr>
        <w:t>s</w:t>
      </w:r>
      <w:r w:rsidRPr="00587CA1">
        <w:rPr>
          <w:rFonts w:ascii="Calibri" w:eastAsia="Calibri" w:hAnsi="Calibri" w:cs="Calibri"/>
          <w:sz w:val="20"/>
          <w:szCs w:val="20"/>
        </w:rPr>
        <w:t>ational</w:t>
      </w:r>
      <w:proofErr w:type="spellEnd"/>
      <w:r w:rsidRPr="00587CA1">
        <w:rPr>
          <w:rFonts w:ascii="Calibri" w:eastAsia="Calibri" w:hAnsi="Calibri" w:cs="Calibri"/>
          <w:sz w:val="20"/>
          <w:szCs w:val="20"/>
        </w:rPr>
        <w:t xml:space="preserve"> binaries between "the West" and other sociopolitical formations.</w:t>
      </w:r>
    </w:p>
    <w:p w14:paraId="316DCD47" w14:textId="3C658132" w:rsidR="6475F536" w:rsidRPr="00587CA1" w:rsidRDefault="6475F536" w:rsidP="00D301C9">
      <w:pPr>
        <w:spacing w:before="240" w:after="240" w:line="240" w:lineRule="auto"/>
        <w:rPr>
          <w:sz w:val="20"/>
          <w:szCs w:val="20"/>
        </w:rPr>
      </w:pPr>
      <w:r w:rsidRPr="00587CA1">
        <w:rPr>
          <w:rFonts w:ascii="Calibri" w:eastAsia="Calibri" w:hAnsi="Calibri" w:cs="Calibri"/>
          <w:sz w:val="20"/>
          <w:szCs w:val="20"/>
        </w:rPr>
        <w:t xml:space="preserve">Although no </w:t>
      </w:r>
      <w:r w:rsidR="6FFB02C9" w:rsidRPr="00587CA1">
        <w:rPr>
          <w:rFonts w:ascii="Calibri" w:eastAsia="Calibri" w:hAnsi="Calibri" w:cs="Calibri"/>
          <w:sz w:val="20"/>
          <w:szCs w:val="20"/>
        </w:rPr>
        <w:t>general conclusion was</w:t>
      </w:r>
      <w:r w:rsidRPr="00587CA1">
        <w:rPr>
          <w:rFonts w:ascii="Calibri" w:eastAsia="Calibri" w:hAnsi="Calibri" w:cs="Calibri"/>
          <w:sz w:val="20"/>
          <w:szCs w:val="20"/>
        </w:rPr>
        <w:t xml:space="preserve"> reached, the discussions underscored a shared recognition of the need to critically examine all theoretical frameworks—regardless of the political appeal of their stated objectives. The keynote address was </w:t>
      </w:r>
      <w:r w:rsidR="25FE4DAA" w:rsidRPr="00587CA1">
        <w:rPr>
          <w:rFonts w:ascii="Calibri" w:eastAsia="Calibri" w:hAnsi="Calibri" w:cs="Calibri"/>
          <w:sz w:val="20"/>
          <w:szCs w:val="20"/>
        </w:rPr>
        <w:t>key</w:t>
      </w:r>
      <w:r w:rsidRPr="00587CA1">
        <w:rPr>
          <w:rFonts w:ascii="Calibri" w:eastAsia="Calibri" w:hAnsi="Calibri" w:cs="Calibri"/>
          <w:sz w:val="20"/>
          <w:szCs w:val="20"/>
        </w:rPr>
        <w:t xml:space="preserve"> in </w:t>
      </w:r>
      <w:proofErr w:type="spellStart"/>
      <w:r w:rsidRPr="00587CA1">
        <w:rPr>
          <w:rFonts w:ascii="Calibri" w:eastAsia="Calibri" w:hAnsi="Calibri" w:cs="Calibri"/>
          <w:sz w:val="20"/>
          <w:szCs w:val="20"/>
        </w:rPr>
        <w:t>emphasi</w:t>
      </w:r>
      <w:r w:rsidR="72D7808A" w:rsidRPr="00587CA1">
        <w:rPr>
          <w:rFonts w:ascii="Calibri" w:eastAsia="Calibri" w:hAnsi="Calibri" w:cs="Calibri"/>
          <w:sz w:val="20"/>
          <w:szCs w:val="20"/>
        </w:rPr>
        <w:t>s</w:t>
      </w:r>
      <w:r w:rsidRPr="00587CA1">
        <w:rPr>
          <w:rFonts w:ascii="Calibri" w:eastAsia="Calibri" w:hAnsi="Calibri" w:cs="Calibri"/>
          <w:sz w:val="20"/>
          <w:szCs w:val="20"/>
        </w:rPr>
        <w:t>ing</w:t>
      </w:r>
      <w:proofErr w:type="spellEnd"/>
      <w:r w:rsidRPr="00587CA1">
        <w:rPr>
          <w:rFonts w:ascii="Calibri" w:eastAsia="Calibri" w:hAnsi="Calibri" w:cs="Calibri"/>
          <w:sz w:val="20"/>
          <w:szCs w:val="20"/>
        </w:rPr>
        <w:t xml:space="preserve"> that researchers' political commitments, while often well-intentioned, can cloud scholarly judgment and thus require rigorous epistemological scrutiny.</w:t>
      </w:r>
    </w:p>
    <w:p w14:paraId="4B67C4E8" w14:textId="6CE630FA" w:rsidR="6475F536" w:rsidRPr="00587CA1" w:rsidRDefault="6475F536" w:rsidP="00D301C9">
      <w:pPr>
        <w:spacing w:before="240" w:after="240" w:line="240" w:lineRule="auto"/>
        <w:rPr>
          <w:rFonts w:ascii="Calibri" w:eastAsia="Calibri" w:hAnsi="Calibri" w:cs="Calibri"/>
          <w:sz w:val="20"/>
          <w:szCs w:val="20"/>
        </w:rPr>
      </w:pPr>
      <w:r w:rsidRPr="00587CA1">
        <w:rPr>
          <w:rFonts w:ascii="Calibri" w:eastAsia="Calibri" w:hAnsi="Calibri" w:cs="Calibri"/>
          <w:sz w:val="20"/>
          <w:szCs w:val="20"/>
        </w:rPr>
        <w:t xml:space="preserve">The event ran smoothly with no logistical issues. One speaker cancelled at the last minute, but this had no negative impact. In fact, it allowed for greater flexibility in the schedule, especially for the keynote address, which ran slightly longer than planned. Feedback from both speakers and attendees was </w:t>
      </w:r>
      <w:r w:rsidR="0E604DEC" w:rsidRPr="00587CA1">
        <w:rPr>
          <w:rFonts w:ascii="Calibri" w:eastAsia="Calibri" w:hAnsi="Calibri" w:cs="Calibri"/>
          <w:sz w:val="20"/>
          <w:szCs w:val="20"/>
        </w:rPr>
        <w:t>encouragingly</w:t>
      </w:r>
      <w:r w:rsidRPr="00587CA1">
        <w:rPr>
          <w:rFonts w:ascii="Calibri" w:eastAsia="Calibri" w:hAnsi="Calibri" w:cs="Calibri"/>
          <w:sz w:val="20"/>
          <w:szCs w:val="20"/>
        </w:rPr>
        <w:t xml:space="preserve"> positive. I believe the conference laid the groundwork for continued dialogue among participants and may evolve into a future edited volume.</w:t>
      </w:r>
      <w:r w:rsidR="207CDBB9" w:rsidRPr="00587CA1">
        <w:rPr>
          <w:rFonts w:ascii="Calibri" w:eastAsia="Calibri" w:hAnsi="Calibri" w:cs="Calibri"/>
          <w:sz w:val="20"/>
          <w:szCs w:val="20"/>
        </w:rPr>
        <w:t xml:space="preserve"> I intend to</w:t>
      </w:r>
      <w:r w:rsidR="430D8B69" w:rsidRPr="00587CA1">
        <w:rPr>
          <w:rFonts w:ascii="Calibri" w:eastAsia="Calibri" w:hAnsi="Calibri" w:cs="Calibri"/>
          <w:sz w:val="20"/>
          <w:szCs w:val="20"/>
        </w:rPr>
        <w:t xml:space="preserve"> approach several of the speakers and</w:t>
      </w:r>
      <w:r w:rsidR="207CDBB9" w:rsidRPr="00587CA1">
        <w:rPr>
          <w:rFonts w:ascii="Calibri" w:eastAsia="Calibri" w:hAnsi="Calibri" w:cs="Calibri"/>
          <w:sz w:val="20"/>
          <w:szCs w:val="20"/>
        </w:rPr>
        <w:t xml:space="preserve"> work</w:t>
      </w:r>
      <w:r w:rsidR="3DC84179" w:rsidRPr="00587CA1">
        <w:rPr>
          <w:rFonts w:ascii="Calibri" w:eastAsia="Calibri" w:hAnsi="Calibri" w:cs="Calibri"/>
          <w:sz w:val="20"/>
          <w:szCs w:val="20"/>
        </w:rPr>
        <w:t xml:space="preserve"> with them</w:t>
      </w:r>
      <w:r w:rsidR="207CDBB9" w:rsidRPr="00587CA1">
        <w:rPr>
          <w:rFonts w:ascii="Calibri" w:eastAsia="Calibri" w:hAnsi="Calibri" w:cs="Calibri"/>
          <w:sz w:val="20"/>
          <w:szCs w:val="20"/>
        </w:rPr>
        <w:t xml:space="preserve"> on a proposal for Routledge’s Warwick Series in the Huma</w:t>
      </w:r>
      <w:r w:rsidR="1C63FE05" w:rsidRPr="00587CA1">
        <w:rPr>
          <w:rFonts w:ascii="Calibri" w:eastAsia="Calibri" w:hAnsi="Calibri" w:cs="Calibri"/>
          <w:sz w:val="20"/>
          <w:szCs w:val="20"/>
        </w:rPr>
        <w:t xml:space="preserve">nities </w:t>
      </w:r>
      <w:r w:rsidR="02CC65D5" w:rsidRPr="00587CA1">
        <w:rPr>
          <w:rFonts w:ascii="Calibri" w:eastAsia="Calibri" w:hAnsi="Calibri" w:cs="Calibri"/>
          <w:sz w:val="20"/>
          <w:szCs w:val="20"/>
        </w:rPr>
        <w:t>in the coming months.</w:t>
      </w:r>
    </w:p>
    <w:p w14:paraId="09606EBF" w14:textId="344B3A8E" w:rsidR="6475F536" w:rsidRPr="00587CA1" w:rsidRDefault="6475F536" w:rsidP="00D301C9">
      <w:pPr>
        <w:spacing w:before="240" w:after="240" w:line="240" w:lineRule="auto"/>
        <w:rPr>
          <w:rFonts w:ascii="Calibri" w:eastAsia="Calibri" w:hAnsi="Calibri" w:cs="Calibri"/>
          <w:sz w:val="20"/>
          <w:szCs w:val="20"/>
        </w:rPr>
      </w:pPr>
      <w:r w:rsidRPr="00587CA1">
        <w:rPr>
          <w:rFonts w:ascii="Calibri" w:eastAsia="Calibri" w:hAnsi="Calibri" w:cs="Calibri"/>
          <w:sz w:val="20"/>
          <w:szCs w:val="20"/>
        </w:rPr>
        <w:lastRenderedPageBreak/>
        <w:t xml:space="preserve">I would like to </w:t>
      </w:r>
      <w:r w:rsidR="77ECE430" w:rsidRPr="00587CA1">
        <w:rPr>
          <w:rFonts w:ascii="Calibri" w:eastAsia="Calibri" w:hAnsi="Calibri" w:cs="Calibri"/>
          <w:sz w:val="20"/>
          <w:szCs w:val="20"/>
        </w:rPr>
        <w:t>thank</w:t>
      </w:r>
      <w:r w:rsidRPr="00587CA1">
        <w:rPr>
          <w:rFonts w:ascii="Calibri" w:eastAsia="Calibri" w:hAnsi="Calibri" w:cs="Calibri"/>
          <w:sz w:val="20"/>
          <w:szCs w:val="20"/>
        </w:rPr>
        <w:t xml:space="preserve"> the Humanities Research Centre for its generous sponsorship and support in making this event possible.</w:t>
      </w:r>
    </w:p>
    <w:p w14:paraId="42C8FCA1" w14:textId="00F44D4B" w:rsidR="00A43DEF" w:rsidRPr="00587CA1" w:rsidRDefault="000710DC" w:rsidP="00D301C9">
      <w:pPr>
        <w:spacing w:before="240" w:after="240" w:line="240" w:lineRule="auto"/>
        <w:rPr>
          <w:sz w:val="20"/>
          <w:szCs w:val="20"/>
        </w:rPr>
      </w:pPr>
      <w:r w:rsidRPr="00587CA1">
        <w:rPr>
          <w:rFonts w:ascii="Calibri" w:eastAsia="Calibri" w:hAnsi="Calibri" w:cs="Calibri"/>
          <w:sz w:val="20"/>
          <w:szCs w:val="20"/>
        </w:rPr>
        <w:t>Julián Harruch</w:t>
      </w:r>
      <w:r w:rsidRPr="00587CA1">
        <w:rPr>
          <w:rFonts w:ascii="Calibri" w:eastAsia="Calibri" w:hAnsi="Calibri" w:cs="Calibri"/>
          <w:sz w:val="20"/>
          <w:szCs w:val="20"/>
        </w:rPr>
        <w:t xml:space="preserve"> (</w:t>
      </w:r>
      <w:r w:rsidR="00587CA1" w:rsidRPr="00587CA1">
        <w:rPr>
          <w:rFonts w:ascii="Calibri" w:eastAsia="Calibri" w:hAnsi="Calibri" w:cs="Calibri"/>
          <w:sz w:val="20"/>
          <w:szCs w:val="20"/>
        </w:rPr>
        <w:t>PGR, SMLC)</w:t>
      </w:r>
    </w:p>
    <w:p w14:paraId="71DBE47D" w14:textId="2C151A5D" w:rsidR="7CE135C5" w:rsidRPr="00587CA1" w:rsidRDefault="7CE135C5" w:rsidP="00D301C9">
      <w:pPr>
        <w:spacing w:line="240" w:lineRule="auto"/>
        <w:rPr>
          <w:rFonts w:ascii="Calibri" w:eastAsia="Calibri" w:hAnsi="Calibri" w:cs="Calibri"/>
          <w:color w:val="000000" w:themeColor="text1"/>
          <w:sz w:val="20"/>
          <w:szCs w:val="20"/>
        </w:rPr>
      </w:pPr>
      <w:r w:rsidRPr="00587CA1">
        <w:rPr>
          <w:rFonts w:ascii="Calibri" w:eastAsia="Calibri" w:hAnsi="Calibri" w:cs="Calibri"/>
          <w:color w:val="000000" w:themeColor="text1"/>
          <w:sz w:val="20"/>
          <w:szCs w:val="20"/>
        </w:rPr>
        <w:t xml:space="preserve">   </w:t>
      </w:r>
    </w:p>
    <w:p w14:paraId="56D81230" w14:textId="6A2BB6A9" w:rsidR="6876459E" w:rsidRPr="00587CA1" w:rsidRDefault="3A75F266" w:rsidP="00D301C9">
      <w:pPr>
        <w:spacing w:line="240" w:lineRule="auto"/>
        <w:rPr>
          <w:rFonts w:ascii="Calibri" w:eastAsia="Calibri" w:hAnsi="Calibri" w:cs="Calibri"/>
          <w:color w:val="000000" w:themeColor="text1"/>
          <w:sz w:val="20"/>
          <w:szCs w:val="20"/>
        </w:rPr>
      </w:pPr>
      <w:r w:rsidRPr="00587CA1">
        <w:rPr>
          <w:rFonts w:ascii="Calibri" w:eastAsia="Calibri" w:hAnsi="Calibri" w:cs="Calibri"/>
          <w:color w:val="000000" w:themeColor="text1"/>
          <w:sz w:val="20"/>
          <w:szCs w:val="20"/>
        </w:rPr>
        <w:t xml:space="preserve"> </w:t>
      </w:r>
      <w:r w:rsidR="35A4E36A" w:rsidRPr="00587CA1">
        <w:rPr>
          <w:rFonts w:ascii="Calibri" w:eastAsia="Calibri" w:hAnsi="Calibri" w:cs="Calibri"/>
          <w:color w:val="000000" w:themeColor="text1"/>
          <w:sz w:val="20"/>
          <w:szCs w:val="20"/>
        </w:rPr>
        <w:t xml:space="preserve"> </w:t>
      </w:r>
    </w:p>
    <w:p w14:paraId="5C58BD05" w14:textId="2AD1768F" w:rsidR="6876459E" w:rsidRPr="00587CA1" w:rsidRDefault="6876459E" w:rsidP="00D301C9">
      <w:pPr>
        <w:spacing w:line="240" w:lineRule="auto"/>
        <w:rPr>
          <w:rFonts w:ascii="Calibri" w:eastAsia="Calibri" w:hAnsi="Calibri" w:cs="Calibri"/>
          <w:color w:val="000000" w:themeColor="text1"/>
          <w:sz w:val="20"/>
          <w:szCs w:val="20"/>
        </w:rPr>
      </w:pPr>
    </w:p>
    <w:sectPr w:rsidR="6876459E" w:rsidRPr="00587C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1B426F"/>
    <w:multiLevelType w:val="hybridMultilevel"/>
    <w:tmpl w:val="06D8C552"/>
    <w:lvl w:ilvl="0" w:tplc="823C953C">
      <w:start w:val="1"/>
      <w:numFmt w:val="bullet"/>
      <w:lvlText w:val=""/>
      <w:lvlJc w:val="left"/>
      <w:pPr>
        <w:ind w:left="720" w:hanging="360"/>
      </w:pPr>
      <w:rPr>
        <w:rFonts w:ascii="Symbol" w:hAnsi="Symbol" w:hint="default"/>
      </w:rPr>
    </w:lvl>
    <w:lvl w:ilvl="1" w:tplc="83EA2498">
      <w:start w:val="1"/>
      <w:numFmt w:val="bullet"/>
      <w:lvlText w:val="o"/>
      <w:lvlJc w:val="left"/>
      <w:pPr>
        <w:ind w:left="1440" w:hanging="360"/>
      </w:pPr>
      <w:rPr>
        <w:rFonts w:ascii="Courier New" w:hAnsi="Courier New" w:hint="default"/>
      </w:rPr>
    </w:lvl>
    <w:lvl w:ilvl="2" w:tplc="2D208580">
      <w:start w:val="1"/>
      <w:numFmt w:val="bullet"/>
      <w:lvlText w:val=""/>
      <w:lvlJc w:val="left"/>
      <w:pPr>
        <w:ind w:left="2160" w:hanging="360"/>
      </w:pPr>
      <w:rPr>
        <w:rFonts w:ascii="Wingdings" w:hAnsi="Wingdings" w:hint="default"/>
      </w:rPr>
    </w:lvl>
    <w:lvl w:ilvl="3" w:tplc="FF1C7582">
      <w:start w:val="1"/>
      <w:numFmt w:val="bullet"/>
      <w:lvlText w:val=""/>
      <w:lvlJc w:val="left"/>
      <w:pPr>
        <w:ind w:left="2880" w:hanging="360"/>
      </w:pPr>
      <w:rPr>
        <w:rFonts w:ascii="Symbol" w:hAnsi="Symbol" w:hint="default"/>
      </w:rPr>
    </w:lvl>
    <w:lvl w:ilvl="4" w:tplc="8F0097E2">
      <w:start w:val="1"/>
      <w:numFmt w:val="bullet"/>
      <w:lvlText w:val="o"/>
      <w:lvlJc w:val="left"/>
      <w:pPr>
        <w:ind w:left="3600" w:hanging="360"/>
      </w:pPr>
      <w:rPr>
        <w:rFonts w:ascii="Courier New" w:hAnsi="Courier New" w:hint="default"/>
      </w:rPr>
    </w:lvl>
    <w:lvl w:ilvl="5" w:tplc="3182AEDC">
      <w:start w:val="1"/>
      <w:numFmt w:val="bullet"/>
      <w:lvlText w:val=""/>
      <w:lvlJc w:val="left"/>
      <w:pPr>
        <w:ind w:left="4320" w:hanging="360"/>
      </w:pPr>
      <w:rPr>
        <w:rFonts w:ascii="Wingdings" w:hAnsi="Wingdings" w:hint="default"/>
      </w:rPr>
    </w:lvl>
    <w:lvl w:ilvl="6" w:tplc="C3D2F49E">
      <w:start w:val="1"/>
      <w:numFmt w:val="bullet"/>
      <w:lvlText w:val=""/>
      <w:lvlJc w:val="left"/>
      <w:pPr>
        <w:ind w:left="5040" w:hanging="360"/>
      </w:pPr>
      <w:rPr>
        <w:rFonts w:ascii="Symbol" w:hAnsi="Symbol" w:hint="default"/>
      </w:rPr>
    </w:lvl>
    <w:lvl w:ilvl="7" w:tplc="D0D89EBE">
      <w:start w:val="1"/>
      <w:numFmt w:val="bullet"/>
      <w:lvlText w:val="o"/>
      <w:lvlJc w:val="left"/>
      <w:pPr>
        <w:ind w:left="5760" w:hanging="360"/>
      </w:pPr>
      <w:rPr>
        <w:rFonts w:ascii="Courier New" w:hAnsi="Courier New" w:hint="default"/>
      </w:rPr>
    </w:lvl>
    <w:lvl w:ilvl="8" w:tplc="5F98D29E">
      <w:start w:val="1"/>
      <w:numFmt w:val="bullet"/>
      <w:lvlText w:val=""/>
      <w:lvlJc w:val="left"/>
      <w:pPr>
        <w:ind w:left="6480" w:hanging="360"/>
      </w:pPr>
      <w:rPr>
        <w:rFonts w:ascii="Wingdings" w:hAnsi="Wingdings" w:hint="default"/>
      </w:rPr>
    </w:lvl>
  </w:abstractNum>
  <w:num w:numId="1" w16cid:durableId="13455900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C63FA32"/>
    <w:rsid w:val="0004218B"/>
    <w:rsid w:val="000710DC"/>
    <w:rsid w:val="00587CA1"/>
    <w:rsid w:val="00A43DEF"/>
    <w:rsid w:val="00D301C9"/>
    <w:rsid w:val="00DCCD07"/>
    <w:rsid w:val="014E0A31"/>
    <w:rsid w:val="02CC65D5"/>
    <w:rsid w:val="05A76F83"/>
    <w:rsid w:val="065B40FC"/>
    <w:rsid w:val="0E240CF7"/>
    <w:rsid w:val="0E604DEC"/>
    <w:rsid w:val="0ED27768"/>
    <w:rsid w:val="108E5EFE"/>
    <w:rsid w:val="123783FC"/>
    <w:rsid w:val="131CCE69"/>
    <w:rsid w:val="13DB4F5C"/>
    <w:rsid w:val="14BA5644"/>
    <w:rsid w:val="154546A3"/>
    <w:rsid w:val="15F58CE0"/>
    <w:rsid w:val="172EB95E"/>
    <w:rsid w:val="1C63FA32"/>
    <w:rsid w:val="1C63FE05"/>
    <w:rsid w:val="207CDBB9"/>
    <w:rsid w:val="20CAE775"/>
    <w:rsid w:val="2229DB99"/>
    <w:rsid w:val="249634D7"/>
    <w:rsid w:val="24D0D383"/>
    <w:rsid w:val="25FE4DAA"/>
    <w:rsid w:val="290A6774"/>
    <w:rsid w:val="2A546C7B"/>
    <w:rsid w:val="2BAB3D28"/>
    <w:rsid w:val="2D4C227B"/>
    <w:rsid w:val="2D4D8F77"/>
    <w:rsid w:val="2E2BF65A"/>
    <w:rsid w:val="2FDAAAE6"/>
    <w:rsid w:val="3040D246"/>
    <w:rsid w:val="30A16842"/>
    <w:rsid w:val="30F4CC30"/>
    <w:rsid w:val="30FAC731"/>
    <w:rsid w:val="33D50FA4"/>
    <w:rsid w:val="34FAD93F"/>
    <w:rsid w:val="35A4E36A"/>
    <w:rsid w:val="397B393D"/>
    <w:rsid w:val="3A75F266"/>
    <w:rsid w:val="3DC84179"/>
    <w:rsid w:val="3E611E7B"/>
    <w:rsid w:val="3EAE0E4C"/>
    <w:rsid w:val="3F85C8E9"/>
    <w:rsid w:val="3FBB6C8F"/>
    <w:rsid w:val="40CE9EB2"/>
    <w:rsid w:val="417F5680"/>
    <w:rsid w:val="430D8B69"/>
    <w:rsid w:val="44459276"/>
    <w:rsid w:val="4504A5DD"/>
    <w:rsid w:val="47B66B57"/>
    <w:rsid w:val="484563D7"/>
    <w:rsid w:val="4C5F1FD8"/>
    <w:rsid w:val="51D75051"/>
    <w:rsid w:val="52B9362A"/>
    <w:rsid w:val="531308A9"/>
    <w:rsid w:val="54F0C2CE"/>
    <w:rsid w:val="5733C153"/>
    <w:rsid w:val="574D5E80"/>
    <w:rsid w:val="57FDB794"/>
    <w:rsid w:val="59202BFA"/>
    <w:rsid w:val="59311DD3"/>
    <w:rsid w:val="5C839A14"/>
    <w:rsid w:val="5ED7F798"/>
    <w:rsid w:val="5F5FC862"/>
    <w:rsid w:val="610A4F7E"/>
    <w:rsid w:val="624AB1E5"/>
    <w:rsid w:val="6251A9A3"/>
    <w:rsid w:val="6475F536"/>
    <w:rsid w:val="666C5C14"/>
    <w:rsid w:val="6689B61D"/>
    <w:rsid w:val="6876459E"/>
    <w:rsid w:val="6945F4C8"/>
    <w:rsid w:val="6B8A8212"/>
    <w:rsid w:val="6C5A1B0E"/>
    <w:rsid w:val="6E15B6BF"/>
    <w:rsid w:val="6F095C96"/>
    <w:rsid w:val="6FC60612"/>
    <w:rsid w:val="6FECC587"/>
    <w:rsid w:val="6FFB02C9"/>
    <w:rsid w:val="72D7808A"/>
    <w:rsid w:val="7473604C"/>
    <w:rsid w:val="7485CA85"/>
    <w:rsid w:val="77ECE430"/>
    <w:rsid w:val="7912819D"/>
    <w:rsid w:val="79C89D18"/>
    <w:rsid w:val="7CE135C5"/>
    <w:rsid w:val="7D2C74C3"/>
    <w:rsid w:val="7DAEFD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63FA32"/>
  <w15:chartTrackingRefBased/>
  <w15:docId w15:val="{D9B98D2C-077F-45F3-8D94-6C2B267CF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687645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498</Words>
  <Characters>2840</Characters>
  <Application>Microsoft Office Word</Application>
  <DocSecurity>0</DocSecurity>
  <Lines>23</Lines>
  <Paragraphs>6</Paragraphs>
  <ScaleCrop>false</ScaleCrop>
  <Company/>
  <LinksUpToDate>false</LinksUpToDate>
  <CharactersWithSpaces>3332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HARRUCH MORALES, JULIÁN (PGR)</dc:creator>
  <cp:keywords/>
  <dc:description/>
  <cp:lastModifiedBy>Rae, Sue</cp:lastModifiedBy>
  <cp:revision>2</cp:revision>
  <dcterms:created xsi:type="dcterms:W3CDTF">2025-05-21T15:42:00Z</dcterms:created>
  <dcterms:modified xsi:type="dcterms:W3CDTF">2025-05-21T15:42:00Z</dcterms:modified>
</cp:coreProperties>
</file>