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415C" w:rsidRDefault="003E4C0C" w:rsidP="003E4C0C">
      <w:pPr>
        <w:jc w:val="center"/>
        <w:rPr>
          <w:b/>
          <w:u w:val="single"/>
        </w:rPr>
      </w:pPr>
      <w:bookmarkStart w:id="0" w:name="_GoBack"/>
      <w:bookmarkEnd w:id="0"/>
      <w:r>
        <w:rPr>
          <w:b/>
          <w:u w:val="single"/>
        </w:rPr>
        <w:t>Report on conference: ‘Vichy and the everyday: new perspectives on daily life under German Occupation, 1940-1944’</w:t>
      </w:r>
    </w:p>
    <w:p w:rsidR="003E4C0C" w:rsidRDefault="003E4C0C" w:rsidP="003E4C0C">
      <w:r>
        <w:t>This one day interdisciplinary conference was held at the Institute of Advanced Study, University of Warwick on the 21</w:t>
      </w:r>
      <w:r w:rsidRPr="003E4C0C">
        <w:rPr>
          <w:vertAlign w:val="superscript"/>
        </w:rPr>
        <w:t>st</w:t>
      </w:r>
      <w:r>
        <w:t xml:space="preserve"> March 2016, and organised by Dr David Lees (Warwick) and Dr Lindsey Dodd (Huddersfield). </w:t>
      </w:r>
    </w:p>
    <w:p w:rsidR="00813900" w:rsidRDefault="003E4C0C" w:rsidP="003E4C0C">
      <w:r>
        <w:t xml:space="preserve">The conference programme comprised speakers from a range </w:t>
      </w:r>
      <w:r w:rsidR="00C86EE9">
        <w:t xml:space="preserve">of disciplines, institutions and indeed nations. Participants included early career academics, including both of the conference organisers, alongside more established academics and even senior figures in the field of the historiography of the Occupation and Vichy France. The concluding remarks were offered by two such experts, Professor Robert </w:t>
      </w:r>
      <w:proofErr w:type="spellStart"/>
      <w:r w:rsidR="00C86EE9">
        <w:t>Gildea</w:t>
      </w:r>
      <w:proofErr w:type="spellEnd"/>
      <w:r w:rsidR="00C86EE9">
        <w:t xml:space="preserve"> (Oxford) and Professor Hanna Diamond (Cardiff). </w:t>
      </w:r>
    </w:p>
    <w:p w:rsidR="001D5842" w:rsidRDefault="00C86EE9" w:rsidP="003E4C0C">
      <w:r>
        <w:t xml:space="preserve">The day opened with a welcome from the conference organisers, dealing with both the practical and the academic aspects of the day. Lindsey Dodd outlined the rationale for the conference, namely the opportunity to explore the question of everyday life during the Occupation through an interdisciplinary approach and seeking to refresh the notion of the ‘everyday’ in this period. This was then followed by the first panel, chaired by David Lees, around the theme of ‘Coping.’ Camille </w:t>
      </w:r>
      <w:proofErr w:type="spellStart"/>
      <w:r>
        <w:t>Mahé</w:t>
      </w:r>
      <w:proofErr w:type="spellEnd"/>
      <w:r>
        <w:t xml:space="preserve"> (Sciences Po) gave a fascinating paper about the ways in which children’s games were harnessed by the Vichy authorities to promote the agenda of the National Revolution</w:t>
      </w:r>
      <w:r w:rsidR="00813900">
        <w:t xml:space="preserve">. </w:t>
      </w:r>
      <w:proofErr w:type="spellStart"/>
      <w:r>
        <w:t>Mahé’s</w:t>
      </w:r>
      <w:proofErr w:type="spellEnd"/>
      <w:r>
        <w:t xml:space="preserve"> paper was then followed by </w:t>
      </w:r>
      <w:r w:rsidR="00F943A4">
        <w:t xml:space="preserve">Isabelle von </w:t>
      </w:r>
      <w:proofErr w:type="spellStart"/>
      <w:r w:rsidR="00F943A4">
        <w:t>Bueltzingsloewen</w:t>
      </w:r>
      <w:proofErr w:type="spellEnd"/>
      <w:r w:rsidR="00F943A4">
        <w:t xml:space="preserve"> (Lyon II</w:t>
      </w:r>
      <w:r w:rsidR="00F943A4" w:rsidRPr="00F943A4">
        <w:t>)</w:t>
      </w:r>
      <w:r w:rsidR="00F943A4">
        <w:t xml:space="preserve"> who dealt with the methodological challenges of reconstructing the everyday life of a </w:t>
      </w:r>
      <w:r w:rsidR="00F943A4">
        <w:rPr>
          <w:i/>
        </w:rPr>
        <w:t xml:space="preserve">Lyonnais </w:t>
      </w:r>
      <w:r w:rsidR="00F943A4">
        <w:t xml:space="preserve">family who had suffered loss during the Occupation when the father of the family was killed during the Allied bombing of his company warehouse. We then turned to the way in which the everyday was borne out in propaganda, specifically radio material produced by the Vichy authorities with the aim of trying to persuade audiences in agricultural regions to share their products with townspeople, which was thoroughly analysed by Kay Chadwick (Liverpool). The final paper of the session, </w:t>
      </w:r>
      <w:r w:rsidR="00813900">
        <w:t xml:space="preserve">was </w:t>
      </w:r>
      <w:r w:rsidR="00F943A4">
        <w:t xml:space="preserve">delivered by </w:t>
      </w:r>
      <w:proofErr w:type="spellStart"/>
      <w:r w:rsidR="00F943A4">
        <w:t>Sylvère</w:t>
      </w:r>
      <w:proofErr w:type="spellEnd"/>
      <w:r w:rsidR="00F943A4">
        <w:t xml:space="preserve"> </w:t>
      </w:r>
      <w:proofErr w:type="spellStart"/>
      <w:r w:rsidR="00F943A4">
        <w:t>Aït</w:t>
      </w:r>
      <w:proofErr w:type="spellEnd"/>
      <w:r w:rsidR="00F943A4">
        <w:t xml:space="preserve"> Amour, from Rails et Histoire, who discussed the ways in which the everyday lives of railway workers, their families and others associated with the railways have been documented in the oral archives of Rails et Histoire, touching in particular on the ways in which the theme of the everyday was developed in a special oral exhibition at the Archives </w:t>
      </w:r>
      <w:proofErr w:type="spellStart"/>
      <w:r w:rsidR="00F943A4">
        <w:t>Nationales</w:t>
      </w:r>
      <w:proofErr w:type="spellEnd"/>
      <w:r w:rsidR="00F943A4">
        <w:t xml:space="preserve"> at </w:t>
      </w:r>
      <w:proofErr w:type="spellStart"/>
      <w:r w:rsidR="00F943A4">
        <w:t>Pierrefitte</w:t>
      </w:r>
      <w:proofErr w:type="spellEnd"/>
      <w:r w:rsidR="00F943A4">
        <w:t>-sur-Seine between April and June 2015. The panel revealed a multiplicity of connections and areas for future discussion, ranging from the question of macro v m</w:t>
      </w:r>
      <w:r w:rsidR="001D5842">
        <w:t xml:space="preserve">icro histories, to the ways in which the apparently mundane could be developed by the Vichy authorities into something of absolute importance, in the case of both food, in Chadwick’s paper, and games, in that of </w:t>
      </w:r>
      <w:proofErr w:type="spellStart"/>
      <w:r w:rsidR="001D5842">
        <w:t>Mahé</w:t>
      </w:r>
      <w:proofErr w:type="spellEnd"/>
      <w:r w:rsidR="001D5842">
        <w:t>. Many of these connections and areas of mutual interest were further developed as the conference progressed.</w:t>
      </w:r>
    </w:p>
    <w:p w:rsidR="001D5842" w:rsidRDefault="001D5842" w:rsidP="003E4C0C">
      <w:r>
        <w:t xml:space="preserve">The second panel, organised around the theme of ‘Helping’ chaired by Steve Wharton (Bath) saw Lindsey Dodd speak on the everyday experiences of child refugees in the </w:t>
      </w:r>
      <w:proofErr w:type="spellStart"/>
      <w:r>
        <w:t>Creuse</w:t>
      </w:r>
      <w:proofErr w:type="spellEnd"/>
      <w:r>
        <w:t xml:space="preserve"> </w:t>
      </w:r>
      <w:proofErr w:type="spellStart"/>
      <w:r>
        <w:t>département</w:t>
      </w:r>
      <w:proofErr w:type="spellEnd"/>
      <w:r>
        <w:t>. Dodd’s paper dealt in particular with the ways in which ‘official’</w:t>
      </w:r>
      <w:r w:rsidR="00155367">
        <w:t xml:space="preserve"> refugees dealt with the often traumatic experience of moving to an unfamiliar rural location. </w:t>
      </w:r>
      <w:r w:rsidR="0018761C">
        <w:t xml:space="preserve">This focus on the support offered to the refugees from </w:t>
      </w:r>
      <w:proofErr w:type="spellStart"/>
      <w:r w:rsidR="0018761C">
        <w:t>Creuse</w:t>
      </w:r>
      <w:proofErr w:type="spellEnd"/>
      <w:r w:rsidR="0018761C">
        <w:t xml:space="preserve"> residents was complemented by Shannon Fogg’s illuminating paper on the support provided for middle-class families in the Marseilles region by the American Friends Service Committee (the Quakers). Both Fogg and Dodd highlighted that help was required by a wide tranche of the French population under Occupation and this was not a phenomenon restricted to the working-classes. Both papers touched on the sense that everyday experiences were often emotionally complex; for some, as was the case for a handful of the child refugees, rural life proved troubling and even traumatic, while for others, as was the case for some of the middle-class families examined by Fogg, the Occupation maintained the importance of ‘keeping up appearances.’</w:t>
      </w:r>
    </w:p>
    <w:p w:rsidR="0018761C" w:rsidRDefault="0018761C" w:rsidP="003E4C0C">
      <w:r>
        <w:lastRenderedPageBreak/>
        <w:t>After lunch, the third panel of the day was organised around the theme of ‘Confrontation.’ Chaired by Mason Norton, the panel again revealed further common points of interest and raised further probing questions about everyday experiences during the Occupation. The panel began with Sarah Frank (University of the Free State, South Africa) exploring the ways in which French colonia</w:t>
      </w:r>
      <w:r w:rsidR="00C2714A">
        <w:t xml:space="preserve">l Prisoners of War experienced captivity in German Prisoner of War camps. Frank’s research explored a range of themes, including gender and race, in its vivid depiction of the conditions in such camps, which were harnessed by the German authorities to demonstrate the importance of the Reich and undermine Vichy’s claims on the Empire. Frank revealed particular tensions between the German camp guards and the African Prisoners of War over relationships with French women, with the guards prohibiting any such relationship between prisoners and local women. Byron </w:t>
      </w:r>
      <w:proofErr w:type="spellStart"/>
      <w:r w:rsidR="00C2714A">
        <w:t>Schirbock</w:t>
      </w:r>
      <w:proofErr w:type="spellEnd"/>
      <w:r w:rsidR="00C2714A">
        <w:t xml:space="preserve"> (Cologne) then built on this theme of confrontation along gender lines, with his examination of the heavily-militarised and apparently well-regulated brothels organised for German soldiers. Drawing on photographic evidence, </w:t>
      </w:r>
      <w:proofErr w:type="spellStart"/>
      <w:r w:rsidR="00C2714A">
        <w:t>Shirbock</w:t>
      </w:r>
      <w:proofErr w:type="spellEnd"/>
      <w:r w:rsidR="00C2714A">
        <w:t xml:space="preserve"> emphasised the importance of these brothels to the German authorities, while also demonstrating the historic links between the development of brothels in France under German Occupation in World War I and again du</w:t>
      </w:r>
      <w:r w:rsidR="00E82830">
        <w:t xml:space="preserve">ring World War II. Finally, </w:t>
      </w:r>
      <w:proofErr w:type="spellStart"/>
      <w:r w:rsidR="00E82830">
        <w:t>Aysh</w:t>
      </w:r>
      <w:r w:rsidR="00C2714A">
        <w:t>ka</w:t>
      </w:r>
      <w:proofErr w:type="spellEnd"/>
      <w:r w:rsidR="00C2714A">
        <w:t xml:space="preserve"> </w:t>
      </w:r>
      <w:proofErr w:type="spellStart"/>
      <w:r w:rsidR="00C2714A">
        <w:t>Sené</w:t>
      </w:r>
      <w:proofErr w:type="spellEnd"/>
      <w:r w:rsidR="00C2714A">
        <w:t xml:space="preserve"> (Cardiff) brought the panel to a close with a further examination of the relationships between German soldiers and women, this time investigating the internment of British women in French camps under Occupation, including that at </w:t>
      </w:r>
      <w:proofErr w:type="spellStart"/>
      <w:r w:rsidR="00C2714A">
        <w:t>Vittel</w:t>
      </w:r>
      <w:proofErr w:type="spellEnd"/>
      <w:r w:rsidR="00C2714A">
        <w:t xml:space="preserve">. </w:t>
      </w:r>
      <w:proofErr w:type="spellStart"/>
      <w:r w:rsidR="00C2714A">
        <w:t>Sené’s</w:t>
      </w:r>
      <w:proofErr w:type="spellEnd"/>
      <w:r w:rsidR="00C2714A">
        <w:t xml:space="preserve"> research revealed a new approach to the examination of internment during the Occupation; as with the Colonial POW camps examined by Frank, the camps for British women were less restrictive and repressive than the narrative of internment during the period typically suggests. Indeed, </w:t>
      </w:r>
      <w:proofErr w:type="spellStart"/>
      <w:r w:rsidR="00C2714A">
        <w:t>Sené</w:t>
      </w:r>
      <w:proofErr w:type="spellEnd"/>
      <w:r w:rsidR="00C2714A">
        <w:t xml:space="preserve"> offered some particularly informative examples of the ways in which British women enjoyed the occasional visit away from the camps, while they were likewise offered the opportunity for socialising within. The panel thus brought together three fascinating approaches to the treatment of gender in everyday life under Occupation, while also demonstrating the sheer variety of everyday experiences for French, British and African people during the period.</w:t>
      </w:r>
    </w:p>
    <w:p w:rsidR="00C2714A" w:rsidRDefault="00C2714A" w:rsidP="003E4C0C">
      <w:r>
        <w:t xml:space="preserve">The final panel of the day, grouped around the theme of ‘Challenge’ </w:t>
      </w:r>
      <w:r w:rsidR="007800AE">
        <w:t>was chaired by Lindsey Dodd. T</w:t>
      </w:r>
      <w:r w:rsidR="00665FC5">
        <w:t xml:space="preserve">he panel brought together three papers which each examined the ways in which the everyday presented challenges to individuals and to societies, and indeed how individuals likewise challenged the dominant view of the everyday. Mason Norton’s paper investigated small acts of everyday resistance in Haute </w:t>
      </w:r>
      <w:proofErr w:type="spellStart"/>
      <w:r w:rsidR="00665FC5">
        <w:t>Normandie</w:t>
      </w:r>
      <w:proofErr w:type="spellEnd"/>
      <w:r w:rsidR="00665FC5">
        <w:t xml:space="preserve"> and the </w:t>
      </w:r>
      <w:proofErr w:type="spellStart"/>
      <w:r w:rsidR="00665FC5">
        <w:t>Limousin</w:t>
      </w:r>
      <w:proofErr w:type="spellEnd"/>
      <w:r w:rsidR="00665FC5">
        <w:t xml:space="preserve">, arguing that for some people under Occupation the challenge to the dominant narrative of the everyday often took a very small-scale approach. Norton’s lucid account of small acts of resistance demonstrated again the sheer variety of everyday experiences in the period, while also </w:t>
      </w:r>
      <w:r w:rsidR="00777003">
        <w:t xml:space="preserve">offering a counterpoint to the confrontations explored in the earlier panel, though that is not to suggest that the wider theme of resistance did not also feature, as, for example, in </w:t>
      </w:r>
      <w:proofErr w:type="spellStart"/>
      <w:r w:rsidR="00777003">
        <w:t>Sené’s</w:t>
      </w:r>
      <w:proofErr w:type="spellEnd"/>
      <w:r w:rsidR="00777003">
        <w:t xml:space="preserve"> work. David Lees then explored the challenges faced by those individuals who set out to present the dominant narrative of Vichy’s National Revolution in film propaganda, most notably the material hardships of documentary filmmaking, before examining the tensions between the dominant promotion of sexuality and gender in film propaganda and the absence in the same material of other aspects of this dominant ideology (notably anti-Semitism). Lees explored in particular the portrayal of women and girls, apparently in ‘everyday’ situations, in documentary film of Philippe Este and Louis Merlin. Following on from the </w:t>
      </w:r>
      <w:r w:rsidR="00B46AEE">
        <w:t xml:space="preserve">examination of particular aspects of the portrayal of everyday life in this material, and the establishment of a dominant narrative of femininity and motherhood, Steve Wharton’s paper explored the everyday in documentary films with particular reference to André Robert’s ‘Arts, Sciences, Voyages’ series of films. </w:t>
      </w:r>
      <w:r w:rsidR="00E9014C">
        <w:t xml:space="preserve">Wharton’s paper emphasised the scale of spending on Vichy documentary film, and the transformation of the medium into a form of ‘shop window’ for the portrayal of the everyday, and in particular the cult of </w:t>
      </w:r>
      <w:proofErr w:type="spellStart"/>
      <w:r w:rsidR="00E9014C">
        <w:rPr>
          <w:i/>
        </w:rPr>
        <w:lastRenderedPageBreak/>
        <w:t>Pétainisme</w:t>
      </w:r>
      <w:proofErr w:type="spellEnd"/>
      <w:r w:rsidR="00E9014C">
        <w:t xml:space="preserve">, again demonstrating the establishment of a dominant narrative of the everyday in Vichy propaganda. </w:t>
      </w:r>
      <w:r w:rsidR="00537546">
        <w:t>The panel thus brought together the sense of challenging dominant narratives in the form of Norton’s focus on small a</w:t>
      </w:r>
      <w:r w:rsidR="007A3FF2">
        <w:t xml:space="preserve">cts of local resistance, while also establishing the ways in which dominant narratives—of </w:t>
      </w:r>
      <w:proofErr w:type="spellStart"/>
      <w:r w:rsidR="007A3FF2" w:rsidRPr="007A3FF2">
        <w:rPr>
          <w:i/>
        </w:rPr>
        <w:t>Pétainisme</w:t>
      </w:r>
      <w:proofErr w:type="spellEnd"/>
      <w:r w:rsidR="007A3FF2">
        <w:t>, of gender and of sexuality—frequently challenged the ‘everyday’ lived experiences of the French people.</w:t>
      </w:r>
    </w:p>
    <w:p w:rsidR="007A3FF2" w:rsidRDefault="00614CE5" w:rsidP="003E4C0C">
      <w:r>
        <w:t xml:space="preserve">Having witnessed a range of papers dedicated to different aspects of the history of the everyday under Vichy and the German Occupation, the concluding remarks for the event were offered by Professor Robert </w:t>
      </w:r>
      <w:proofErr w:type="spellStart"/>
      <w:r>
        <w:t>Gildea</w:t>
      </w:r>
      <w:proofErr w:type="spellEnd"/>
      <w:r>
        <w:t xml:space="preserve"> and Professor Hanna Diamond. Both speakers emphasised the importance of studying the ‘everyday’ in the period, while also noting the ways in which the papers provoked questions about future avenues of discussion for the subject and for the wider historiography of France’s ‘Dark Years.’</w:t>
      </w:r>
    </w:p>
    <w:p w:rsidR="00614CE5" w:rsidRDefault="00614CE5" w:rsidP="003E4C0C">
      <w:r>
        <w:t>In short, this was an informative, illuminating and thought-provoking study day which would not have been possible without the generous support of the</w:t>
      </w:r>
      <w:r w:rsidR="00813900">
        <w:t xml:space="preserve"> Humanities Research Centre, University of Warwick, the </w:t>
      </w:r>
      <w:r>
        <w:t>Association for the Study of Modern and Contemporary France</w:t>
      </w:r>
      <w:r w:rsidR="00813900">
        <w:t xml:space="preserve">, </w:t>
      </w:r>
      <w:r>
        <w:t xml:space="preserve">the </w:t>
      </w:r>
      <w:r>
        <w:rPr>
          <w:i/>
        </w:rPr>
        <w:t xml:space="preserve">Connecting Cultures </w:t>
      </w:r>
      <w:r>
        <w:t>GRP, University of Warwick, the School of Modern Languages and Cultures, University of Warwick, the Royal Historical Society</w:t>
      </w:r>
      <w:r w:rsidR="008C63D2">
        <w:t>, the Society for the Study of French History</w:t>
      </w:r>
      <w:r>
        <w:t xml:space="preserve"> and the School of Music and Humanities at the University of Huddersfield. We are grateful for the support of these organisations and bodies and are thrilled that the majority of the conference papers will be published in an edited collection with Bloomsbury Academic.</w:t>
      </w:r>
    </w:p>
    <w:p w:rsidR="00614CE5" w:rsidRPr="00614CE5" w:rsidRDefault="00614CE5" w:rsidP="003E4C0C">
      <w:pPr>
        <w:rPr>
          <w:b/>
        </w:rPr>
      </w:pPr>
      <w:r w:rsidRPr="00614CE5">
        <w:rPr>
          <w:b/>
        </w:rPr>
        <w:t>Dr David Lees and Dr Lindsey Dodd, Conference organisers</w:t>
      </w:r>
    </w:p>
    <w:sectPr w:rsidR="00614CE5" w:rsidRPr="00614C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62C"/>
    <w:rsid w:val="00155367"/>
    <w:rsid w:val="0018761C"/>
    <w:rsid w:val="001D5842"/>
    <w:rsid w:val="003E4C0C"/>
    <w:rsid w:val="004644CE"/>
    <w:rsid w:val="004A462C"/>
    <w:rsid w:val="00537546"/>
    <w:rsid w:val="00614CE5"/>
    <w:rsid w:val="00665FC5"/>
    <w:rsid w:val="0077193B"/>
    <w:rsid w:val="00777003"/>
    <w:rsid w:val="007800AE"/>
    <w:rsid w:val="007A3FF2"/>
    <w:rsid w:val="00813900"/>
    <w:rsid w:val="008C63D2"/>
    <w:rsid w:val="00B46AEE"/>
    <w:rsid w:val="00C2714A"/>
    <w:rsid w:val="00C86EE9"/>
    <w:rsid w:val="00D6415C"/>
    <w:rsid w:val="00E82830"/>
    <w:rsid w:val="00E9014C"/>
    <w:rsid w:val="00F943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A4C8FE-5A7E-46DD-86BC-EC1DC15F8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3A0D09E1</Template>
  <TotalTime>0</TotalTime>
  <Pages>3</Pages>
  <Words>1540</Words>
  <Characters>8778</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Dibben, Sue</cp:lastModifiedBy>
  <cp:revision>2</cp:revision>
  <dcterms:created xsi:type="dcterms:W3CDTF">2016-04-18T08:59:00Z</dcterms:created>
  <dcterms:modified xsi:type="dcterms:W3CDTF">2016-04-18T08:59:00Z</dcterms:modified>
</cp:coreProperties>
</file>