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0866" w:rsidRDefault="00110866" w:rsidP="00110866">
      <w:pPr>
        <w:spacing w:after="0" w:line="360" w:lineRule="auto"/>
        <w:jc w:val="center"/>
        <w:rPr>
          <w:rFonts w:ascii="Bell MT" w:hAnsi="Bell MT"/>
          <w:b/>
          <w:sz w:val="24"/>
          <w:szCs w:val="32"/>
        </w:rPr>
      </w:pPr>
      <w:r>
        <w:rPr>
          <w:rFonts w:ascii="Bell MT" w:hAnsi="Bell MT"/>
          <w:b/>
          <w:sz w:val="24"/>
          <w:szCs w:val="32"/>
        </w:rPr>
        <w:t>The Ashram as Emotional Community</w:t>
      </w:r>
    </w:p>
    <w:p w:rsidR="008C3670" w:rsidRDefault="008C3670" w:rsidP="00110866">
      <w:pPr>
        <w:spacing w:line="360" w:lineRule="auto"/>
        <w:jc w:val="center"/>
        <w:rPr>
          <w:rFonts w:ascii="Bell MT" w:hAnsi="Bell MT"/>
          <w:b/>
          <w:sz w:val="24"/>
          <w:szCs w:val="32"/>
        </w:rPr>
      </w:pPr>
      <w:r w:rsidRPr="008C3670">
        <w:rPr>
          <w:rFonts w:ascii="Bell MT" w:hAnsi="Bell MT"/>
          <w:b/>
          <w:sz w:val="24"/>
          <w:szCs w:val="32"/>
        </w:rPr>
        <w:t xml:space="preserve"> 1910-1940</w:t>
      </w:r>
    </w:p>
    <w:p w:rsidR="00110866" w:rsidRDefault="00110866" w:rsidP="00110866">
      <w:pPr>
        <w:spacing w:line="360" w:lineRule="auto"/>
        <w:jc w:val="center"/>
        <w:rPr>
          <w:rFonts w:ascii="Bell MT" w:hAnsi="Bell MT"/>
          <w:b/>
          <w:sz w:val="24"/>
          <w:szCs w:val="32"/>
        </w:rPr>
      </w:pPr>
      <w:r>
        <w:rPr>
          <w:rFonts w:ascii="Bell MT" w:hAnsi="Bell MT"/>
          <w:b/>
          <w:sz w:val="24"/>
          <w:szCs w:val="32"/>
        </w:rPr>
        <w:t>An Introduction</w:t>
      </w:r>
      <w:bookmarkStart w:id="0" w:name="_GoBack"/>
      <w:bookmarkEnd w:id="0"/>
    </w:p>
    <w:p w:rsidR="008C3670" w:rsidRPr="008C3670" w:rsidRDefault="008C3670" w:rsidP="00B96C04">
      <w:pPr>
        <w:spacing w:line="360" w:lineRule="auto"/>
        <w:rPr>
          <w:rFonts w:ascii="Bell MT" w:hAnsi="Bell MT"/>
          <w:b/>
          <w:sz w:val="24"/>
          <w:szCs w:val="24"/>
        </w:rPr>
      </w:pPr>
    </w:p>
    <w:p w:rsidR="00513FF4" w:rsidRDefault="00A46637" w:rsidP="00B96C04">
      <w:pPr>
        <w:spacing w:line="360" w:lineRule="auto"/>
        <w:rPr>
          <w:rFonts w:ascii="Bell MT" w:hAnsi="Bell MT"/>
          <w:sz w:val="24"/>
          <w:szCs w:val="24"/>
        </w:rPr>
      </w:pPr>
      <w:r w:rsidRPr="00B96C04">
        <w:rPr>
          <w:rFonts w:ascii="Bell MT" w:hAnsi="Bell MT"/>
          <w:sz w:val="24"/>
          <w:szCs w:val="24"/>
        </w:rPr>
        <w:t>T</w:t>
      </w:r>
      <w:r w:rsidR="00B96C04" w:rsidRPr="00B96C04">
        <w:rPr>
          <w:rFonts w:ascii="Bell MT" w:hAnsi="Bell MT"/>
          <w:sz w:val="24"/>
          <w:szCs w:val="24"/>
        </w:rPr>
        <w:t>he</w:t>
      </w:r>
      <w:r>
        <w:rPr>
          <w:rFonts w:ascii="Bell MT" w:hAnsi="Bell MT"/>
          <w:sz w:val="24"/>
          <w:szCs w:val="24"/>
        </w:rPr>
        <w:t xml:space="preserve"> </w:t>
      </w:r>
      <w:r w:rsidR="00B96C04" w:rsidRPr="00B96C04">
        <w:rPr>
          <w:rFonts w:ascii="Bell MT" w:hAnsi="Bell MT"/>
          <w:sz w:val="24"/>
          <w:szCs w:val="24"/>
        </w:rPr>
        <w:t>ashram has been in existence since at least the Vedic</w:t>
      </w:r>
      <w:r w:rsidR="00110866">
        <w:rPr>
          <w:rStyle w:val="FootnoteReference"/>
          <w:rFonts w:ascii="Bell MT" w:hAnsi="Bell MT"/>
          <w:sz w:val="24"/>
        </w:rPr>
        <w:footnoteReference w:id="1"/>
      </w:r>
      <w:r w:rsidR="00B96C04" w:rsidRPr="00B96C04">
        <w:rPr>
          <w:rFonts w:ascii="Bell MT" w:hAnsi="Bell MT"/>
          <w:sz w:val="24"/>
          <w:szCs w:val="24"/>
        </w:rPr>
        <w:t xml:space="preserve"> times in ancient India</w:t>
      </w:r>
      <w:r>
        <w:rPr>
          <w:rFonts w:ascii="Bell MT" w:hAnsi="Bell MT"/>
          <w:sz w:val="24"/>
          <w:szCs w:val="24"/>
        </w:rPr>
        <w:t>, since the 1500 BCE</w:t>
      </w:r>
      <w:r w:rsidR="00B96C04" w:rsidRPr="00B96C04">
        <w:rPr>
          <w:rFonts w:ascii="Bell MT" w:hAnsi="Bell MT"/>
          <w:sz w:val="24"/>
          <w:szCs w:val="24"/>
        </w:rPr>
        <w:t xml:space="preserve">. Very broadly, an ashram can be described as forest hermitages, with a ‘spontaneous community of disciples gathered around a spiritual leader’ or guru who guides them in the practise of </w:t>
      </w:r>
      <w:r>
        <w:rPr>
          <w:rFonts w:ascii="Bell MT" w:hAnsi="Bell MT"/>
          <w:sz w:val="24"/>
          <w:szCs w:val="24"/>
        </w:rPr>
        <w:t xml:space="preserve">rigorous </w:t>
      </w:r>
      <w:r w:rsidR="00B96C04" w:rsidRPr="00B96C04">
        <w:rPr>
          <w:rFonts w:ascii="Bell MT" w:hAnsi="Bell MT"/>
          <w:sz w:val="24"/>
          <w:szCs w:val="24"/>
        </w:rPr>
        <w:t>spiritual discipline. The guru or Acharya</w:t>
      </w:r>
      <w:r>
        <w:rPr>
          <w:rFonts w:ascii="Bell MT" w:hAnsi="Bell MT"/>
          <w:sz w:val="24"/>
          <w:szCs w:val="24"/>
        </w:rPr>
        <w:t>, generally a high caste Brahmin,</w:t>
      </w:r>
      <w:r w:rsidR="00B96C04" w:rsidRPr="00B96C04">
        <w:rPr>
          <w:rFonts w:ascii="Bell MT" w:hAnsi="Bell MT"/>
          <w:sz w:val="24"/>
          <w:szCs w:val="24"/>
        </w:rPr>
        <w:t xml:space="preserve"> occupies a central role in ashram life. He is deeply venerated by disciples, his charismatic authority a source of wisdom and general guidance for </w:t>
      </w:r>
      <w:proofErr w:type="spellStart"/>
      <w:r w:rsidR="00B96C04" w:rsidRPr="00B96C04">
        <w:rPr>
          <w:rFonts w:ascii="Bell MT" w:hAnsi="Bell MT"/>
          <w:sz w:val="24"/>
          <w:szCs w:val="24"/>
        </w:rPr>
        <w:t>ashramites</w:t>
      </w:r>
      <w:proofErr w:type="spellEnd"/>
      <w:r w:rsidR="00B96C04" w:rsidRPr="00B96C04">
        <w:rPr>
          <w:rFonts w:ascii="Bell MT" w:hAnsi="Bell MT"/>
          <w:sz w:val="24"/>
          <w:szCs w:val="24"/>
        </w:rPr>
        <w:t xml:space="preserve">.  The ashram is also related to </w:t>
      </w:r>
      <w:proofErr w:type="spellStart"/>
      <w:r w:rsidR="00B96C04" w:rsidRPr="00B96C04">
        <w:rPr>
          <w:rFonts w:ascii="Bell MT" w:hAnsi="Bell MT"/>
          <w:sz w:val="24"/>
          <w:szCs w:val="24"/>
        </w:rPr>
        <w:t>varnashrama</w:t>
      </w:r>
      <w:proofErr w:type="spellEnd"/>
      <w:r w:rsidR="00B96C04" w:rsidRPr="00B96C04">
        <w:rPr>
          <w:rFonts w:ascii="Bell MT" w:hAnsi="Bell MT"/>
          <w:sz w:val="24"/>
          <w:szCs w:val="24"/>
        </w:rPr>
        <w:t xml:space="preserve"> dharma or the four </w:t>
      </w:r>
      <w:r w:rsidR="00567ECE">
        <w:rPr>
          <w:rFonts w:ascii="Bell MT" w:hAnsi="Bell MT"/>
          <w:sz w:val="24"/>
          <w:szCs w:val="24"/>
        </w:rPr>
        <w:t xml:space="preserve">stages of an </w:t>
      </w:r>
      <w:r w:rsidR="00B96C04" w:rsidRPr="00B96C04">
        <w:rPr>
          <w:rFonts w:ascii="Bell MT" w:hAnsi="Bell MT"/>
          <w:sz w:val="24"/>
          <w:szCs w:val="24"/>
        </w:rPr>
        <w:t xml:space="preserve">upper caste Hindu: student, householder, renouncer and ascetic. Throughout ancient and medieval Indian history, the ashram has remained a </w:t>
      </w:r>
      <w:r w:rsidR="00567ECE">
        <w:rPr>
          <w:rFonts w:ascii="Bell MT" w:hAnsi="Bell MT"/>
          <w:sz w:val="24"/>
          <w:szCs w:val="24"/>
        </w:rPr>
        <w:t xml:space="preserve">relevant </w:t>
      </w:r>
      <w:r>
        <w:rPr>
          <w:rFonts w:ascii="Bell MT" w:hAnsi="Bell MT"/>
          <w:sz w:val="24"/>
          <w:szCs w:val="24"/>
        </w:rPr>
        <w:t>institution</w:t>
      </w:r>
      <w:r w:rsidR="00B96C04" w:rsidRPr="00B96C04">
        <w:rPr>
          <w:rFonts w:ascii="Bell MT" w:hAnsi="Bell MT"/>
          <w:sz w:val="24"/>
          <w:szCs w:val="24"/>
        </w:rPr>
        <w:t xml:space="preserve"> for those who sought a spiritual and religious life.</w:t>
      </w:r>
    </w:p>
    <w:p w:rsidR="00F12471" w:rsidRDefault="007044EA" w:rsidP="00B96C04">
      <w:pPr>
        <w:spacing w:line="360" w:lineRule="auto"/>
        <w:rPr>
          <w:rFonts w:ascii="Bell MT" w:hAnsi="Bell MT"/>
          <w:sz w:val="24"/>
          <w:szCs w:val="24"/>
        </w:rPr>
      </w:pPr>
      <w:r w:rsidRPr="00CA2926">
        <w:rPr>
          <w:rFonts w:ascii="Bell MT" w:hAnsi="Bell MT"/>
          <w:sz w:val="24"/>
          <w:szCs w:val="24"/>
        </w:rPr>
        <w:t>Th</w:t>
      </w:r>
      <w:r>
        <w:rPr>
          <w:rFonts w:ascii="Bell MT" w:hAnsi="Bell MT"/>
          <w:sz w:val="24"/>
          <w:szCs w:val="24"/>
        </w:rPr>
        <w:t xml:space="preserve">e </w:t>
      </w:r>
      <w:r w:rsidR="00567ECE">
        <w:rPr>
          <w:rFonts w:ascii="Bell MT" w:hAnsi="Bell MT"/>
          <w:sz w:val="24"/>
          <w:szCs w:val="24"/>
        </w:rPr>
        <w:t xml:space="preserve">modern </w:t>
      </w:r>
      <w:r>
        <w:rPr>
          <w:rFonts w:ascii="Bell MT" w:hAnsi="Bell MT"/>
          <w:sz w:val="24"/>
          <w:szCs w:val="24"/>
        </w:rPr>
        <w:t>ashram emerged as a ‘curious category’ in Indian nationalist discourse</w:t>
      </w:r>
      <w:r w:rsidR="00A46637" w:rsidRPr="00A46637">
        <w:rPr>
          <w:rFonts w:ascii="Bell MT" w:hAnsi="Bell MT"/>
          <w:sz w:val="24"/>
          <w:szCs w:val="24"/>
        </w:rPr>
        <w:t xml:space="preserve"> </w:t>
      </w:r>
      <w:r w:rsidR="00A46637">
        <w:rPr>
          <w:rFonts w:ascii="Bell MT" w:hAnsi="Bell MT"/>
          <w:sz w:val="24"/>
          <w:szCs w:val="24"/>
        </w:rPr>
        <w:t>by the early 20</w:t>
      </w:r>
      <w:r w:rsidR="00A46637" w:rsidRPr="00B83E5B">
        <w:rPr>
          <w:rFonts w:ascii="Bell MT" w:hAnsi="Bell MT"/>
          <w:sz w:val="24"/>
          <w:szCs w:val="24"/>
          <w:vertAlign w:val="superscript"/>
        </w:rPr>
        <w:t>th</w:t>
      </w:r>
      <w:r w:rsidR="00A46637">
        <w:rPr>
          <w:rFonts w:ascii="Bell MT" w:hAnsi="Bell MT"/>
          <w:sz w:val="24"/>
          <w:szCs w:val="24"/>
        </w:rPr>
        <w:t xml:space="preserve"> century</w:t>
      </w:r>
      <w:r>
        <w:rPr>
          <w:rFonts w:ascii="Bell MT" w:hAnsi="Bell MT"/>
          <w:sz w:val="24"/>
          <w:szCs w:val="24"/>
        </w:rPr>
        <w:t>.</w:t>
      </w:r>
      <w:r>
        <w:rPr>
          <w:rStyle w:val="FootnoteReference"/>
          <w:rFonts w:ascii="Bell MT" w:hAnsi="Bell MT"/>
          <w:sz w:val="24"/>
          <w:szCs w:val="24"/>
        </w:rPr>
        <w:footnoteReference w:id="2"/>
      </w:r>
      <w:r>
        <w:rPr>
          <w:rFonts w:ascii="Bell MT" w:hAnsi="Bell MT"/>
          <w:sz w:val="24"/>
          <w:szCs w:val="24"/>
        </w:rPr>
        <w:t xml:space="preserve"> </w:t>
      </w:r>
      <w:r w:rsidR="00A46637">
        <w:rPr>
          <w:rFonts w:ascii="Bell MT" w:hAnsi="Bell MT"/>
          <w:sz w:val="24"/>
          <w:szCs w:val="24"/>
        </w:rPr>
        <w:t>T</w:t>
      </w:r>
      <w:r>
        <w:rPr>
          <w:rFonts w:ascii="Bell MT" w:hAnsi="Bell MT"/>
          <w:sz w:val="24"/>
          <w:szCs w:val="24"/>
        </w:rPr>
        <w:t xml:space="preserve">he modern ashram became a significant mode to think the nation, as well as imagine and invest a new life for it. </w:t>
      </w:r>
      <w:r w:rsidR="00B96C04" w:rsidRPr="00B96C04">
        <w:rPr>
          <w:rFonts w:ascii="Bell MT" w:hAnsi="Bell MT"/>
          <w:sz w:val="24"/>
          <w:szCs w:val="24"/>
        </w:rPr>
        <w:t>The ashram was recovered from its precolonial past as a romanticised ‘theme in colonial thought’, thanks to Orientalist</w:t>
      </w:r>
      <w:r w:rsidR="00567ECE">
        <w:rPr>
          <w:rFonts w:ascii="Bell MT" w:hAnsi="Bell MT"/>
          <w:sz w:val="24"/>
          <w:szCs w:val="24"/>
        </w:rPr>
        <w:t xml:space="preserve"> scholars</w:t>
      </w:r>
      <w:r w:rsidR="00B96C04" w:rsidRPr="00B96C04">
        <w:rPr>
          <w:rFonts w:ascii="Bell MT" w:hAnsi="Bell MT"/>
          <w:sz w:val="24"/>
          <w:szCs w:val="24"/>
        </w:rPr>
        <w:t xml:space="preserve"> such as Max Mueller and P </w:t>
      </w:r>
      <w:proofErr w:type="spellStart"/>
      <w:r w:rsidR="00B96C04" w:rsidRPr="00B96C04">
        <w:rPr>
          <w:rFonts w:ascii="Bell MT" w:hAnsi="Bell MT"/>
          <w:sz w:val="24"/>
          <w:szCs w:val="24"/>
        </w:rPr>
        <w:t>Deussen</w:t>
      </w:r>
      <w:proofErr w:type="spellEnd"/>
      <w:r w:rsidR="00B96C04" w:rsidRPr="00B96C04">
        <w:rPr>
          <w:rFonts w:ascii="Bell MT" w:hAnsi="Bell MT"/>
          <w:sz w:val="24"/>
          <w:szCs w:val="24"/>
        </w:rPr>
        <w:t xml:space="preserve">. From this Orientalist </w:t>
      </w:r>
      <w:proofErr w:type="spellStart"/>
      <w:r w:rsidR="00B96C04" w:rsidRPr="00B96C04">
        <w:rPr>
          <w:rFonts w:ascii="Bell MT" w:hAnsi="Bell MT"/>
          <w:sz w:val="24"/>
          <w:szCs w:val="24"/>
        </w:rPr>
        <w:t>romanticisation</w:t>
      </w:r>
      <w:proofErr w:type="spellEnd"/>
      <w:r w:rsidR="00B96C04" w:rsidRPr="00B96C04">
        <w:rPr>
          <w:rFonts w:ascii="Bell MT" w:hAnsi="Bell MT"/>
          <w:sz w:val="24"/>
          <w:szCs w:val="24"/>
        </w:rPr>
        <w:t>, the nationalist category of ashram emerged as a representative site of ancient Hindu spirituality that had degenerated ever since.</w:t>
      </w:r>
      <w:r w:rsidR="00B96C04" w:rsidRPr="00B96C04">
        <w:rPr>
          <w:rFonts w:ascii="Bell MT" w:hAnsi="Bell MT"/>
          <w:sz w:val="24"/>
          <w:szCs w:val="24"/>
          <w:vertAlign w:val="superscript"/>
        </w:rPr>
        <w:footnoteReference w:id="3"/>
      </w:r>
      <w:r w:rsidR="00B96C04" w:rsidRPr="00B96C04">
        <w:rPr>
          <w:rFonts w:ascii="Bell MT" w:hAnsi="Bell MT"/>
          <w:sz w:val="24"/>
          <w:szCs w:val="24"/>
        </w:rPr>
        <w:t xml:space="preserve"> The nationalist ashram was a call to resuscitate such spaces and through them, the nation. As the British colonial state increasingly reified the reach of temporal power, the rhetoric of spiritual strength became a logic of Hindu c</w:t>
      </w:r>
      <w:r w:rsidR="00A46637">
        <w:rPr>
          <w:rFonts w:ascii="Bell MT" w:hAnsi="Bell MT"/>
          <w:sz w:val="24"/>
          <w:szCs w:val="24"/>
        </w:rPr>
        <w:t>ultural sovereignty for colonised</w:t>
      </w:r>
      <w:r w:rsidR="00B96C04" w:rsidRPr="00B96C04">
        <w:rPr>
          <w:rFonts w:ascii="Bell MT" w:hAnsi="Bell MT"/>
          <w:sz w:val="24"/>
          <w:szCs w:val="24"/>
        </w:rPr>
        <w:t xml:space="preserve"> subjects to assert themselves. The ashram became a mode to embody its ancient prototype – as repositories of spirituality, knowledge and wisdom – necessary to escape the secular disciplinary regimes of colonial modernity.  The modern ashram became a new site of convergence for various forms of bhakti (devotion): the older, </w:t>
      </w:r>
      <w:r w:rsidR="00B96C04" w:rsidRPr="00B96C04">
        <w:rPr>
          <w:rFonts w:ascii="Bell MT" w:hAnsi="Bell MT"/>
          <w:sz w:val="24"/>
          <w:szCs w:val="24"/>
        </w:rPr>
        <w:lastRenderedPageBreak/>
        <w:t xml:space="preserve">spiritual or religious bhakti was now distinctively tinged with </w:t>
      </w:r>
      <w:proofErr w:type="spellStart"/>
      <w:r w:rsidR="00B96C04" w:rsidRPr="00B96C04">
        <w:rPr>
          <w:rFonts w:ascii="Bell MT" w:hAnsi="Bell MT"/>
          <w:sz w:val="24"/>
          <w:szCs w:val="24"/>
        </w:rPr>
        <w:t>deshbhakti</w:t>
      </w:r>
      <w:proofErr w:type="spellEnd"/>
      <w:r w:rsidR="00B96C04" w:rsidRPr="00B96C04">
        <w:rPr>
          <w:rFonts w:ascii="Bell MT" w:hAnsi="Bell MT"/>
          <w:sz w:val="24"/>
          <w:szCs w:val="24"/>
        </w:rPr>
        <w:t xml:space="preserve"> or love for the </w:t>
      </w:r>
      <w:r w:rsidR="00B96C04">
        <w:rPr>
          <w:rFonts w:ascii="Bell MT" w:hAnsi="Bell MT"/>
          <w:sz w:val="24"/>
          <w:szCs w:val="24"/>
        </w:rPr>
        <w:t>nation</w:t>
      </w:r>
      <w:r w:rsidR="00B96C04" w:rsidRPr="00B96C04">
        <w:rPr>
          <w:rFonts w:ascii="Bell MT" w:hAnsi="Bell MT"/>
          <w:sz w:val="24"/>
          <w:szCs w:val="24"/>
        </w:rPr>
        <w:t xml:space="preserve">. </w:t>
      </w:r>
    </w:p>
    <w:p w:rsidR="00B96C04" w:rsidRDefault="00F12471" w:rsidP="00B96C04">
      <w:pPr>
        <w:spacing w:line="360" w:lineRule="auto"/>
        <w:rPr>
          <w:rFonts w:ascii="Bell MT" w:hAnsi="Bell MT"/>
          <w:sz w:val="24"/>
        </w:rPr>
      </w:pPr>
      <w:r>
        <w:rPr>
          <w:rFonts w:ascii="Bell MT" w:hAnsi="Bell MT"/>
          <w:sz w:val="24"/>
        </w:rPr>
        <w:t xml:space="preserve">In a wide ranging commentary on ‘modernity and its enchantments’, the historian </w:t>
      </w:r>
      <w:proofErr w:type="spellStart"/>
      <w:r>
        <w:rPr>
          <w:rFonts w:ascii="Bell MT" w:hAnsi="Bell MT"/>
          <w:sz w:val="24"/>
        </w:rPr>
        <w:t>Saurabh</w:t>
      </w:r>
      <w:proofErr w:type="spellEnd"/>
      <w:r>
        <w:rPr>
          <w:rFonts w:ascii="Bell MT" w:hAnsi="Bell MT"/>
          <w:sz w:val="24"/>
        </w:rPr>
        <w:t xml:space="preserve"> </w:t>
      </w:r>
      <w:proofErr w:type="spellStart"/>
      <w:r>
        <w:rPr>
          <w:rFonts w:ascii="Bell MT" w:hAnsi="Bell MT"/>
          <w:sz w:val="24"/>
        </w:rPr>
        <w:t>Dube</w:t>
      </w:r>
      <w:proofErr w:type="spellEnd"/>
      <w:r>
        <w:rPr>
          <w:rFonts w:ascii="Bell MT" w:hAnsi="Bell MT"/>
          <w:sz w:val="24"/>
        </w:rPr>
        <w:t xml:space="preserve"> observes that the ‘idea of modernity rests on rupture’.</w:t>
      </w:r>
      <w:r>
        <w:rPr>
          <w:rStyle w:val="FootnoteReference"/>
          <w:rFonts w:ascii="Bell MT" w:hAnsi="Bell MT"/>
          <w:sz w:val="24"/>
        </w:rPr>
        <w:footnoteReference w:id="4"/>
      </w:r>
      <w:r>
        <w:rPr>
          <w:rFonts w:ascii="Bell MT" w:hAnsi="Bell MT"/>
          <w:sz w:val="24"/>
        </w:rPr>
        <w:t xml:space="preserve"> A rupture that is premised on a series of oppositions ‘embedded within formidable projects of power and knowledge’, enlightenment, empire and nation.</w:t>
      </w:r>
      <w:r>
        <w:rPr>
          <w:rStyle w:val="FootnoteReference"/>
          <w:rFonts w:ascii="Bell MT" w:hAnsi="Bell MT"/>
          <w:sz w:val="24"/>
        </w:rPr>
        <w:footnoteReference w:id="5"/>
      </w:r>
      <w:r>
        <w:rPr>
          <w:rFonts w:ascii="Bell MT" w:hAnsi="Bell MT"/>
          <w:sz w:val="24"/>
        </w:rPr>
        <w:t xml:space="preserve"> In other words, if modernity is constitutive and constituted by what it perceives as anti/non modern, the ambivalences and ambiguities that surround such propositions are in effect, responses to aspects of modernity itself. An enchantment with modernity is coupled with its disenchantments, producing formations that are coeval as subjects of modernity negotiate for themselves traditions, practices and spaces with specific truth claims. Propositions for alternative or anti </w:t>
      </w:r>
      <w:proofErr w:type="spellStart"/>
      <w:r>
        <w:rPr>
          <w:rFonts w:ascii="Bell MT" w:hAnsi="Bell MT"/>
          <w:sz w:val="24"/>
        </w:rPr>
        <w:t>modernities</w:t>
      </w:r>
      <w:proofErr w:type="spellEnd"/>
      <w:r>
        <w:rPr>
          <w:rFonts w:ascii="Bell MT" w:hAnsi="Bell MT"/>
          <w:sz w:val="24"/>
        </w:rPr>
        <w:t xml:space="preserve"> are often rooted in disenchantments with hegemonic forms that modernity, and in this case, colonial modernity, assumes in its imperial guise. </w:t>
      </w:r>
      <w:r w:rsidR="00B96C04">
        <w:rPr>
          <w:rFonts w:ascii="Bell MT" w:hAnsi="Bell MT"/>
          <w:sz w:val="24"/>
          <w:szCs w:val="24"/>
        </w:rPr>
        <w:t xml:space="preserve">It embodied a disenchantment with modernity but also in effect, was an inescapably modern response that shaped the colonial desire for an idealised lost world. </w:t>
      </w:r>
      <w:r w:rsidR="00B96C04">
        <w:rPr>
          <w:rFonts w:ascii="Bell MT" w:hAnsi="Bell MT"/>
          <w:sz w:val="24"/>
        </w:rPr>
        <w:t>Under conditions o</w:t>
      </w:r>
      <w:r w:rsidR="002A0956">
        <w:rPr>
          <w:rFonts w:ascii="Bell MT" w:hAnsi="Bell MT"/>
          <w:sz w:val="24"/>
        </w:rPr>
        <w:t>f colonial modernity, it became</w:t>
      </w:r>
      <w:r w:rsidR="00B96C04">
        <w:rPr>
          <w:rFonts w:ascii="Bell MT" w:hAnsi="Bell MT"/>
          <w:sz w:val="24"/>
        </w:rPr>
        <w:t xml:space="preserve"> a form and category that i</w:t>
      </w:r>
      <w:r w:rsidR="00A46637">
        <w:rPr>
          <w:rFonts w:ascii="Bell MT" w:hAnsi="Bell MT"/>
          <w:sz w:val="24"/>
        </w:rPr>
        <w:t xml:space="preserve">s decidedly </w:t>
      </w:r>
      <w:proofErr w:type="spellStart"/>
      <w:r w:rsidR="00A46637">
        <w:rPr>
          <w:rFonts w:ascii="Bell MT" w:hAnsi="Bell MT"/>
          <w:sz w:val="24"/>
        </w:rPr>
        <w:t>indigenist</w:t>
      </w:r>
      <w:proofErr w:type="spellEnd"/>
      <w:r w:rsidR="00A46637">
        <w:rPr>
          <w:rFonts w:ascii="Bell MT" w:hAnsi="Bell MT"/>
          <w:sz w:val="24"/>
        </w:rPr>
        <w:t xml:space="preserve"> but lent</w:t>
      </w:r>
      <w:r w:rsidR="00B96C04">
        <w:rPr>
          <w:rFonts w:ascii="Bell MT" w:hAnsi="Bell MT"/>
          <w:sz w:val="24"/>
        </w:rPr>
        <w:t xml:space="preserve"> itself to modern adaptations</w:t>
      </w:r>
      <w:r w:rsidR="002A0956">
        <w:rPr>
          <w:rFonts w:ascii="Bell MT" w:hAnsi="Bell MT"/>
          <w:sz w:val="24"/>
        </w:rPr>
        <w:t>/appropriations</w:t>
      </w:r>
      <w:r w:rsidR="00B96C04">
        <w:rPr>
          <w:rFonts w:ascii="Bell MT" w:hAnsi="Bell MT"/>
          <w:sz w:val="24"/>
        </w:rPr>
        <w:t xml:space="preserve"> readily. </w:t>
      </w:r>
      <w:r w:rsidRPr="0005549A">
        <w:rPr>
          <w:rFonts w:ascii="Bell MT" w:hAnsi="Bell MT"/>
          <w:sz w:val="24"/>
        </w:rPr>
        <w:t xml:space="preserve">As an </w:t>
      </w:r>
      <w:proofErr w:type="spellStart"/>
      <w:r w:rsidRPr="0005549A">
        <w:rPr>
          <w:rFonts w:ascii="Bell MT" w:hAnsi="Bell MT"/>
          <w:sz w:val="24"/>
        </w:rPr>
        <w:t>indigenist</w:t>
      </w:r>
      <w:proofErr w:type="spellEnd"/>
      <w:r w:rsidRPr="0005549A">
        <w:rPr>
          <w:rFonts w:ascii="Bell MT" w:hAnsi="Bell MT"/>
          <w:sz w:val="24"/>
        </w:rPr>
        <w:t xml:space="preserve"> mode, it claimed a discursive authenticity that similar western categories/examples may not have offered, particularly when it came to critiquing western modernity. </w:t>
      </w:r>
      <w:r w:rsidR="00B96C04" w:rsidRPr="00B96C04">
        <w:rPr>
          <w:rFonts w:ascii="Bell MT" w:hAnsi="Bell MT"/>
          <w:sz w:val="24"/>
        </w:rPr>
        <w:t xml:space="preserve">It could fold multiple temporalities – sacred and secular – within its habitus, seeking to disrupt </w:t>
      </w:r>
      <w:r w:rsidR="002A0956">
        <w:rPr>
          <w:rFonts w:ascii="Bell MT" w:hAnsi="Bell MT"/>
          <w:sz w:val="24"/>
        </w:rPr>
        <w:t>linear</w:t>
      </w:r>
      <w:r w:rsidR="00B96C04" w:rsidRPr="00B96C04">
        <w:rPr>
          <w:rFonts w:ascii="Bell MT" w:hAnsi="Bell MT"/>
          <w:sz w:val="24"/>
        </w:rPr>
        <w:t xml:space="preserve"> capitalist time. </w:t>
      </w:r>
      <w:r w:rsidR="0037231B">
        <w:rPr>
          <w:rFonts w:ascii="Bell MT" w:hAnsi="Bell MT"/>
          <w:sz w:val="24"/>
        </w:rPr>
        <w:t>However</w:t>
      </w:r>
      <w:r w:rsidR="00B96C04" w:rsidRPr="00B96C04">
        <w:rPr>
          <w:rFonts w:ascii="Bell MT" w:hAnsi="Bell MT"/>
          <w:sz w:val="24"/>
        </w:rPr>
        <w:t>, modern clock time was central to almost all early 20</w:t>
      </w:r>
      <w:r w:rsidR="00B96C04" w:rsidRPr="00B96C04">
        <w:rPr>
          <w:rFonts w:ascii="Bell MT" w:hAnsi="Bell MT"/>
          <w:sz w:val="24"/>
          <w:vertAlign w:val="superscript"/>
        </w:rPr>
        <w:t>th</w:t>
      </w:r>
      <w:r w:rsidR="00B96C04" w:rsidRPr="00B96C04">
        <w:rPr>
          <w:rFonts w:ascii="Bell MT" w:hAnsi="Bell MT"/>
          <w:sz w:val="24"/>
        </w:rPr>
        <w:t xml:space="preserve"> century ashrams that saw themselves as creating new subjects and subjectivities for an emergent Indian nation, howsoever differently. </w:t>
      </w:r>
    </w:p>
    <w:p w:rsidR="00F12471" w:rsidRPr="00B96C04" w:rsidRDefault="00F12471" w:rsidP="00B96C04">
      <w:pPr>
        <w:spacing w:line="360" w:lineRule="auto"/>
        <w:rPr>
          <w:rFonts w:ascii="Bell MT" w:hAnsi="Bell MT"/>
          <w:sz w:val="24"/>
        </w:rPr>
      </w:pPr>
    </w:p>
    <w:p w:rsidR="00B96C04" w:rsidRPr="00B96C04" w:rsidRDefault="007044EA" w:rsidP="00B96C04">
      <w:pPr>
        <w:spacing w:line="360" w:lineRule="auto"/>
        <w:rPr>
          <w:rFonts w:ascii="Bell MT" w:hAnsi="Bell MT"/>
          <w:b/>
          <w:sz w:val="24"/>
          <w:szCs w:val="24"/>
        </w:rPr>
      </w:pPr>
      <w:r>
        <w:rPr>
          <w:rFonts w:ascii="Bell MT" w:hAnsi="Bell MT"/>
          <w:b/>
          <w:sz w:val="24"/>
          <w:szCs w:val="24"/>
        </w:rPr>
        <w:t>Phoenix, Tolstoy Farm and</w:t>
      </w:r>
      <w:r w:rsidR="00B96C04" w:rsidRPr="00B96C04">
        <w:rPr>
          <w:rFonts w:ascii="Bell MT" w:hAnsi="Bell MT"/>
          <w:b/>
          <w:sz w:val="24"/>
          <w:szCs w:val="24"/>
        </w:rPr>
        <w:t xml:space="preserve"> </w:t>
      </w:r>
      <w:proofErr w:type="spellStart"/>
      <w:r w:rsidR="00B96C04" w:rsidRPr="00B96C04">
        <w:rPr>
          <w:rFonts w:ascii="Bell MT" w:hAnsi="Bell MT"/>
          <w:b/>
          <w:sz w:val="24"/>
          <w:szCs w:val="24"/>
        </w:rPr>
        <w:t>Shantiniketan</w:t>
      </w:r>
      <w:proofErr w:type="spellEnd"/>
      <w:r w:rsidR="00B96C04" w:rsidRPr="00B96C04">
        <w:rPr>
          <w:rFonts w:ascii="Bell MT" w:hAnsi="Bell MT"/>
          <w:b/>
          <w:sz w:val="24"/>
          <w:szCs w:val="24"/>
        </w:rPr>
        <w:t xml:space="preserve"> </w:t>
      </w:r>
    </w:p>
    <w:p w:rsidR="00B96C04" w:rsidRPr="005E7E2A" w:rsidRDefault="00B96C04" w:rsidP="005E7E2A">
      <w:pPr>
        <w:spacing w:line="360" w:lineRule="auto"/>
        <w:rPr>
          <w:rFonts w:ascii="Bell MT" w:hAnsi="Bell MT"/>
          <w:sz w:val="24"/>
          <w:szCs w:val="24"/>
        </w:rPr>
      </w:pPr>
      <w:r w:rsidRPr="00B96C04">
        <w:rPr>
          <w:rFonts w:ascii="Bell MT" w:hAnsi="Bell MT"/>
          <w:sz w:val="24"/>
          <w:szCs w:val="24"/>
        </w:rPr>
        <w:t xml:space="preserve">I focus </w:t>
      </w:r>
      <w:r>
        <w:rPr>
          <w:rFonts w:ascii="Bell MT" w:hAnsi="Bell MT"/>
          <w:sz w:val="24"/>
          <w:szCs w:val="24"/>
        </w:rPr>
        <w:t xml:space="preserve">here </w:t>
      </w:r>
      <w:r w:rsidR="00A46637">
        <w:rPr>
          <w:rFonts w:ascii="Bell MT" w:hAnsi="Bell MT"/>
          <w:sz w:val="24"/>
          <w:szCs w:val="24"/>
        </w:rPr>
        <w:t xml:space="preserve">largely </w:t>
      </w:r>
      <w:r w:rsidRPr="00B96C04">
        <w:rPr>
          <w:rFonts w:ascii="Bell MT" w:hAnsi="Bell MT"/>
          <w:sz w:val="24"/>
          <w:szCs w:val="24"/>
        </w:rPr>
        <w:t>on</w:t>
      </w:r>
      <w:r w:rsidR="007467D0">
        <w:rPr>
          <w:rFonts w:ascii="Bell MT" w:hAnsi="Bell MT"/>
          <w:sz w:val="24"/>
          <w:szCs w:val="24"/>
        </w:rPr>
        <w:t xml:space="preserve"> the ashram experiments of</w:t>
      </w:r>
      <w:r w:rsidRPr="00B96C04">
        <w:rPr>
          <w:rFonts w:ascii="Bell MT" w:hAnsi="Bell MT"/>
          <w:sz w:val="24"/>
          <w:szCs w:val="24"/>
        </w:rPr>
        <w:t xml:space="preserve"> </w:t>
      </w:r>
      <w:r w:rsidR="007467D0">
        <w:rPr>
          <w:rFonts w:ascii="Bell MT" w:hAnsi="Bell MT"/>
          <w:sz w:val="24"/>
          <w:szCs w:val="24"/>
        </w:rPr>
        <w:t xml:space="preserve">two major Indian thinkers – Rabindranath </w:t>
      </w:r>
      <w:r w:rsidRPr="00B96C04">
        <w:rPr>
          <w:rFonts w:ascii="Bell MT" w:hAnsi="Bell MT"/>
          <w:sz w:val="24"/>
          <w:szCs w:val="24"/>
        </w:rPr>
        <w:t xml:space="preserve">Tagore and </w:t>
      </w:r>
      <w:r w:rsidR="007467D0">
        <w:rPr>
          <w:rFonts w:ascii="Bell MT" w:hAnsi="Bell MT"/>
          <w:sz w:val="24"/>
          <w:szCs w:val="24"/>
        </w:rPr>
        <w:t xml:space="preserve">Mohandas </w:t>
      </w:r>
      <w:r w:rsidRPr="00B96C04">
        <w:rPr>
          <w:rFonts w:ascii="Bell MT" w:hAnsi="Bell MT"/>
          <w:sz w:val="24"/>
          <w:szCs w:val="24"/>
        </w:rPr>
        <w:t>Gandh</w:t>
      </w:r>
      <w:r w:rsidR="007467D0">
        <w:rPr>
          <w:rFonts w:ascii="Bell MT" w:hAnsi="Bell MT"/>
          <w:sz w:val="24"/>
          <w:szCs w:val="24"/>
        </w:rPr>
        <w:t>i – and their western disciples. Tagore was a pre-eminent literary icon of Bengal, and would go on to win the Nobel Prize in 1913, a first ever for any Asian; Gandhi was in the early 1900s engaged in organising the anti-indenture movement in South Africa, whose success would catapult his later career in India.</w:t>
      </w:r>
      <w:r w:rsidRPr="00B96C04">
        <w:rPr>
          <w:rFonts w:ascii="Bell MT" w:hAnsi="Bell MT"/>
          <w:sz w:val="24"/>
          <w:szCs w:val="24"/>
        </w:rPr>
        <w:t xml:space="preserve"> </w:t>
      </w:r>
      <w:r w:rsidR="007467D0">
        <w:rPr>
          <w:rFonts w:ascii="Bell MT" w:hAnsi="Bell MT"/>
          <w:sz w:val="24"/>
          <w:szCs w:val="24"/>
        </w:rPr>
        <w:t>B</w:t>
      </w:r>
      <w:r>
        <w:rPr>
          <w:rFonts w:ascii="Bell MT" w:hAnsi="Bell MT"/>
          <w:sz w:val="24"/>
          <w:szCs w:val="24"/>
        </w:rPr>
        <w:t>oth</w:t>
      </w:r>
      <w:r w:rsidR="007467D0">
        <w:rPr>
          <w:rFonts w:ascii="Bell MT" w:hAnsi="Bell MT"/>
          <w:sz w:val="24"/>
          <w:szCs w:val="24"/>
        </w:rPr>
        <w:t xml:space="preserve"> of their commune experiments</w:t>
      </w:r>
      <w:r>
        <w:rPr>
          <w:rFonts w:ascii="Bell MT" w:hAnsi="Bell MT"/>
          <w:sz w:val="24"/>
          <w:szCs w:val="24"/>
        </w:rPr>
        <w:t xml:space="preserve"> very pertinent instances of modern ashrams</w:t>
      </w:r>
      <w:r w:rsidR="005E7E2A">
        <w:rPr>
          <w:rFonts w:ascii="Bell MT" w:hAnsi="Bell MT"/>
          <w:sz w:val="24"/>
          <w:szCs w:val="24"/>
        </w:rPr>
        <w:t xml:space="preserve"> </w:t>
      </w:r>
      <w:r w:rsidR="0037231B">
        <w:rPr>
          <w:rFonts w:ascii="Bell MT" w:hAnsi="Bell MT"/>
          <w:sz w:val="24"/>
          <w:szCs w:val="24"/>
        </w:rPr>
        <w:t xml:space="preserve">which </w:t>
      </w:r>
      <w:r w:rsidR="00A46637">
        <w:rPr>
          <w:rFonts w:ascii="Bell MT" w:hAnsi="Bell MT"/>
          <w:sz w:val="24"/>
          <w:szCs w:val="24"/>
        </w:rPr>
        <w:t xml:space="preserve">played </w:t>
      </w:r>
      <w:r w:rsidR="00A46637">
        <w:rPr>
          <w:rFonts w:ascii="Bell MT" w:hAnsi="Bell MT"/>
          <w:sz w:val="24"/>
          <w:szCs w:val="24"/>
        </w:rPr>
        <w:lastRenderedPageBreak/>
        <w:t>significant roles in the shaping of new cultural selves for their British/white disciples</w:t>
      </w:r>
      <w:r w:rsidR="005E7E2A">
        <w:rPr>
          <w:rFonts w:ascii="Bell MT" w:hAnsi="Bell MT"/>
          <w:sz w:val="24"/>
          <w:szCs w:val="24"/>
        </w:rPr>
        <w:t>.</w:t>
      </w:r>
      <w:r>
        <w:rPr>
          <w:rFonts w:ascii="Bell MT" w:hAnsi="Bell MT"/>
          <w:sz w:val="24"/>
          <w:szCs w:val="24"/>
        </w:rPr>
        <w:t xml:space="preserve"> </w:t>
      </w:r>
      <w:r w:rsidR="007044EA">
        <w:rPr>
          <w:rFonts w:ascii="Bell MT" w:hAnsi="Bell MT"/>
          <w:sz w:val="24"/>
          <w:szCs w:val="24"/>
        </w:rPr>
        <w:t xml:space="preserve">They </w:t>
      </w:r>
      <w:r w:rsidR="005E7E2A" w:rsidRPr="00B96C04">
        <w:rPr>
          <w:rFonts w:ascii="Bell MT" w:hAnsi="Bell MT"/>
          <w:sz w:val="24"/>
          <w:szCs w:val="24"/>
        </w:rPr>
        <w:t>were extremely prominent inclusive (inter)national experiments, with its founders and interlocutors constantly engaged in an axis of dialogue.</w:t>
      </w:r>
      <w:r w:rsidR="005E7E2A">
        <w:rPr>
          <w:rFonts w:ascii="Bell MT" w:hAnsi="Bell MT"/>
          <w:sz w:val="24"/>
          <w:szCs w:val="24"/>
        </w:rPr>
        <w:t xml:space="preserve"> </w:t>
      </w:r>
      <w:r w:rsidR="005D0572" w:rsidRPr="005D0572">
        <w:rPr>
          <w:rFonts w:ascii="Bell MT" w:hAnsi="Bell MT"/>
          <w:sz w:val="24"/>
          <w:szCs w:val="24"/>
        </w:rPr>
        <w:t>Ashrams sought to reimagine a utopian collective life against the proliferat</w:t>
      </w:r>
      <w:r w:rsidR="0037231B">
        <w:rPr>
          <w:rFonts w:ascii="Bell MT" w:hAnsi="Bell MT"/>
          <w:sz w:val="24"/>
          <w:szCs w:val="24"/>
        </w:rPr>
        <w:t xml:space="preserve">ing social individualisation </w:t>
      </w:r>
      <w:r w:rsidR="005D0572" w:rsidRPr="005D0572">
        <w:rPr>
          <w:rFonts w:ascii="Bell MT" w:hAnsi="Bell MT"/>
          <w:sz w:val="24"/>
          <w:szCs w:val="24"/>
        </w:rPr>
        <w:t>produced by industrial modernity.</w:t>
      </w:r>
      <w:r w:rsidR="005D0572" w:rsidRPr="005D0572">
        <w:rPr>
          <w:rFonts w:ascii="Bell MT" w:hAnsi="Bell MT"/>
          <w:sz w:val="24"/>
          <w:szCs w:val="24"/>
          <w:vertAlign w:val="superscript"/>
        </w:rPr>
        <w:footnoteReference w:id="6"/>
      </w:r>
      <w:r w:rsidR="005D0572" w:rsidRPr="005D0572">
        <w:rPr>
          <w:rFonts w:ascii="Bell MT" w:hAnsi="Bell MT"/>
          <w:sz w:val="24"/>
          <w:szCs w:val="24"/>
        </w:rPr>
        <w:t xml:space="preserve"> </w:t>
      </w:r>
      <w:r w:rsidR="006A1BBD">
        <w:rPr>
          <w:rFonts w:ascii="Bell MT" w:hAnsi="Bell MT"/>
          <w:sz w:val="24"/>
        </w:rPr>
        <w:t>Gandhi believed it would</w:t>
      </w:r>
      <w:r w:rsidR="00736A87">
        <w:rPr>
          <w:rFonts w:ascii="Bell MT" w:hAnsi="Bell MT"/>
          <w:sz w:val="24"/>
        </w:rPr>
        <w:t xml:space="preserve"> prevent the </w:t>
      </w:r>
      <w:r w:rsidR="00736A87" w:rsidRPr="005E7E2A">
        <w:rPr>
          <w:rFonts w:ascii="Bell MT" w:hAnsi="Bell MT"/>
          <w:sz w:val="24"/>
        </w:rPr>
        <w:t xml:space="preserve">dehumanisation caused by </w:t>
      </w:r>
      <w:r w:rsidR="00736A87">
        <w:rPr>
          <w:rFonts w:ascii="Bell MT" w:hAnsi="Bell MT"/>
          <w:sz w:val="24"/>
        </w:rPr>
        <w:t xml:space="preserve">the disciplinary regimes of </w:t>
      </w:r>
      <w:r w:rsidR="00736A87" w:rsidRPr="005E7E2A">
        <w:rPr>
          <w:rFonts w:ascii="Bell MT" w:hAnsi="Bell MT"/>
          <w:sz w:val="24"/>
        </w:rPr>
        <w:t>techno-modernity</w:t>
      </w:r>
      <w:r w:rsidR="00736A87">
        <w:rPr>
          <w:rFonts w:ascii="Bell MT" w:hAnsi="Bell MT"/>
          <w:sz w:val="24"/>
        </w:rPr>
        <w:t xml:space="preserve"> </w:t>
      </w:r>
      <w:r w:rsidR="006A1BBD">
        <w:rPr>
          <w:rFonts w:ascii="Bell MT" w:hAnsi="Bell MT"/>
          <w:sz w:val="24"/>
        </w:rPr>
        <w:t>while for Tagore, the appeal lay in resisting</w:t>
      </w:r>
      <w:r w:rsidR="00736A87" w:rsidRPr="005E7E2A">
        <w:rPr>
          <w:rFonts w:ascii="Bell MT" w:hAnsi="Bell MT"/>
          <w:sz w:val="24"/>
        </w:rPr>
        <w:t xml:space="preserve"> mechanised pedagogies of modern schooling.</w:t>
      </w:r>
    </w:p>
    <w:p w:rsidR="007467D0" w:rsidRDefault="0037231B" w:rsidP="007467D0">
      <w:pPr>
        <w:spacing w:line="360" w:lineRule="auto"/>
        <w:rPr>
          <w:rFonts w:ascii="Bell MT" w:hAnsi="Bell MT"/>
          <w:sz w:val="24"/>
        </w:rPr>
      </w:pPr>
      <w:r>
        <w:rPr>
          <w:rFonts w:ascii="Bell MT" w:hAnsi="Bell MT"/>
          <w:sz w:val="24"/>
        </w:rPr>
        <w:t xml:space="preserve">Tagore’s ashram </w:t>
      </w:r>
      <w:proofErr w:type="spellStart"/>
      <w:r w:rsidR="00685F1B">
        <w:rPr>
          <w:rFonts w:ascii="Bell MT" w:hAnsi="Bell MT"/>
          <w:sz w:val="24"/>
        </w:rPr>
        <w:t>Shantiniketan</w:t>
      </w:r>
      <w:proofErr w:type="spellEnd"/>
      <w:r w:rsidR="00567ECE">
        <w:rPr>
          <w:rFonts w:ascii="Bell MT" w:hAnsi="Bell MT"/>
          <w:sz w:val="24"/>
        </w:rPr>
        <w:t xml:space="preserve"> (located in rural, tribal Bengal)</w:t>
      </w:r>
      <w:r w:rsidR="00685F1B">
        <w:rPr>
          <w:rFonts w:ascii="Bell MT" w:hAnsi="Bell MT"/>
          <w:sz w:val="24"/>
        </w:rPr>
        <w:t xml:space="preserve"> grew out of </w:t>
      </w:r>
      <w:r>
        <w:rPr>
          <w:rFonts w:ascii="Bell MT" w:hAnsi="Bell MT"/>
          <w:sz w:val="24"/>
        </w:rPr>
        <w:t>a</w:t>
      </w:r>
      <w:r w:rsidR="00685F1B">
        <w:rPr>
          <w:rFonts w:ascii="Bell MT" w:hAnsi="Bell MT"/>
          <w:sz w:val="24"/>
        </w:rPr>
        <w:t xml:space="preserve"> growing dissatisfaction with the inadequacy of </w:t>
      </w:r>
      <w:r>
        <w:rPr>
          <w:rFonts w:ascii="Bell MT" w:hAnsi="Bell MT"/>
          <w:sz w:val="24"/>
        </w:rPr>
        <w:t xml:space="preserve">colonial forms of </w:t>
      </w:r>
      <w:r w:rsidR="00685F1B">
        <w:rPr>
          <w:rFonts w:ascii="Bell MT" w:hAnsi="Bell MT"/>
          <w:sz w:val="24"/>
        </w:rPr>
        <w:t>modern schooling to educate children. He felt that modern schools were in reality ‘a factory, a</w:t>
      </w:r>
      <w:r>
        <w:rPr>
          <w:rFonts w:ascii="Bell MT" w:hAnsi="Bell MT"/>
          <w:sz w:val="24"/>
        </w:rPr>
        <w:t>nd the teachers are part of it’, producing clerks instead of knowledge.</w:t>
      </w:r>
      <w:r w:rsidR="00685F1B">
        <w:rPr>
          <w:rStyle w:val="FootnoteReference"/>
          <w:rFonts w:ascii="Bell MT" w:hAnsi="Bell MT"/>
          <w:sz w:val="24"/>
        </w:rPr>
        <w:footnoteReference w:id="7"/>
      </w:r>
      <w:r w:rsidR="00685F1B">
        <w:rPr>
          <w:rFonts w:ascii="Bell MT" w:hAnsi="Bell MT"/>
          <w:sz w:val="24"/>
        </w:rPr>
        <w:t xml:space="preserve"> It sought to emulate ancient </w:t>
      </w:r>
      <w:proofErr w:type="spellStart"/>
      <w:r w:rsidR="00685F1B">
        <w:rPr>
          <w:rFonts w:ascii="Bell MT" w:hAnsi="Bell MT"/>
          <w:sz w:val="24"/>
        </w:rPr>
        <w:t>tapovans</w:t>
      </w:r>
      <w:proofErr w:type="spellEnd"/>
      <w:r w:rsidR="00685F1B">
        <w:rPr>
          <w:rFonts w:ascii="Bell MT" w:hAnsi="Bell MT"/>
          <w:sz w:val="24"/>
        </w:rPr>
        <w:t xml:space="preserve"> or forest hermitages as sources of knowledge and wisdom, located in the wilderness of nature.  </w:t>
      </w:r>
      <w:proofErr w:type="spellStart"/>
      <w:r>
        <w:rPr>
          <w:rFonts w:ascii="Bell MT" w:hAnsi="Bell MT"/>
          <w:sz w:val="24"/>
        </w:rPr>
        <w:t>Shantiniketan</w:t>
      </w:r>
      <w:proofErr w:type="spellEnd"/>
      <w:r>
        <w:rPr>
          <w:rFonts w:ascii="Bell MT" w:hAnsi="Bell MT"/>
          <w:sz w:val="24"/>
        </w:rPr>
        <w:t xml:space="preserve"> drew deeply</w:t>
      </w:r>
      <w:r w:rsidR="001829D1">
        <w:rPr>
          <w:rFonts w:ascii="Bell MT" w:hAnsi="Bell MT"/>
          <w:sz w:val="24"/>
        </w:rPr>
        <w:t xml:space="preserve"> on an idealised Vedic form of community, rooted in the vision of an unsullied Hindu cultural past and civilizational greatness.</w:t>
      </w:r>
      <w:r w:rsidR="001829D1">
        <w:rPr>
          <w:rStyle w:val="FootnoteReference"/>
          <w:rFonts w:ascii="Bell MT" w:hAnsi="Bell MT"/>
          <w:sz w:val="24"/>
        </w:rPr>
        <w:footnoteReference w:id="8"/>
      </w:r>
      <w:r w:rsidR="001829D1">
        <w:rPr>
          <w:rFonts w:ascii="Bell MT" w:hAnsi="Bell MT"/>
          <w:sz w:val="24"/>
        </w:rPr>
        <w:t xml:space="preserve"> </w:t>
      </w:r>
      <w:r w:rsidR="007467D0">
        <w:rPr>
          <w:rFonts w:ascii="Bell MT" w:hAnsi="Bell MT"/>
          <w:sz w:val="24"/>
        </w:rPr>
        <w:t xml:space="preserve">The idyllic </w:t>
      </w:r>
      <w:proofErr w:type="spellStart"/>
      <w:r w:rsidR="007467D0">
        <w:rPr>
          <w:rFonts w:ascii="Bell MT" w:hAnsi="Bell MT"/>
          <w:sz w:val="24"/>
        </w:rPr>
        <w:t>tapovan</w:t>
      </w:r>
      <w:proofErr w:type="spellEnd"/>
      <w:r w:rsidR="007467D0">
        <w:rPr>
          <w:rFonts w:ascii="Bell MT" w:hAnsi="Bell MT"/>
          <w:sz w:val="24"/>
        </w:rPr>
        <w:t xml:space="preserve"> life portrayed in the ancient Sanskrit poet </w:t>
      </w:r>
      <w:proofErr w:type="spellStart"/>
      <w:r w:rsidR="007467D0">
        <w:rPr>
          <w:rFonts w:ascii="Bell MT" w:hAnsi="Bell MT"/>
          <w:sz w:val="24"/>
        </w:rPr>
        <w:t>Kalidas</w:t>
      </w:r>
      <w:proofErr w:type="spellEnd"/>
      <w:r w:rsidR="007467D0">
        <w:rPr>
          <w:rFonts w:ascii="Bell MT" w:hAnsi="Bell MT"/>
          <w:sz w:val="24"/>
        </w:rPr>
        <w:t xml:space="preserve"> moved him: a place that radiated peace and transcendent love,</w:t>
      </w:r>
      <w:r w:rsidR="007467D0" w:rsidRPr="00DD49ED">
        <w:rPr>
          <w:rFonts w:ascii="Bell MT" w:hAnsi="Bell MT"/>
          <w:sz w:val="24"/>
          <w:szCs w:val="24"/>
        </w:rPr>
        <w:t xml:space="preserve"> </w:t>
      </w:r>
      <w:r w:rsidR="007467D0">
        <w:rPr>
          <w:rFonts w:ascii="Bell MT" w:hAnsi="Bell MT"/>
          <w:sz w:val="24"/>
          <w:szCs w:val="24"/>
        </w:rPr>
        <w:t>where people abjure their violence, even animals such as lions</w:t>
      </w:r>
      <w:r w:rsidR="007467D0">
        <w:rPr>
          <w:rFonts w:ascii="Bell MT" w:hAnsi="Bell MT"/>
          <w:sz w:val="24"/>
        </w:rPr>
        <w:t>.</w:t>
      </w:r>
      <w:r w:rsidR="007467D0">
        <w:rPr>
          <w:rStyle w:val="FootnoteReference"/>
          <w:rFonts w:ascii="Bell MT" w:hAnsi="Bell MT"/>
          <w:sz w:val="24"/>
        </w:rPr>
        <w:footnoteReference w:id="9"/>
      </w:r>
      <w:r w:rsidR="007467D0">
        <w:rPr>
          <w:rFonts w:ascii="Bell MT" w:hAnsi="Bell MT"/>
          <w:sz w:val="24"/>
        </w:rPr>
        <w:t xml:space="preserve"> </w:t>
      </w:r>
      <w:proofErr w:type="spellStart"/>
      <w:r w:rsidR="007467D0">
        <w:rPr>
          <w:rFonts w:ascii="Bell MT" w:hAnsi="Bell MT"/>
          <w:sz w:val="24"/>
        </w:rPr>
        <w:t>Shantiniketan</w:t>
      </w:r>
      <w:proofErr w:type="spellEnd"/>
      <w:r w:rsidR="007467D0">
        <w:rPr>
          <w:rFonts w:ascii="Bell MT" w:hAnsi="Bell MT"/>
          <w:sz w:val="24"/>
        </w:rPr>
        <w:t xml:space="preserve"> sought to be a modern </w:t>
      </w:r>
      <w:proofErr w:type="spellStart"/>
      <w:r w:rsidR="007467D0">
        <w:rPr>
          <w:rFonts w:ascii="Bell MT" w:hAnsi="Bell MT"/>
          <w:sz w:val="24"/>
        </w:rPr>
        <w:t>tapovan</w:t>
      </w:r>
      <w:proofErr w:type="spellEnd"/>
      <w:r w:rsidR="007467D0">
        <w:rPr>
          <w:rFonts w:ascii="Bell MT" w:hAnsi="Bell MT"/>
          <w:sz w:val="24"/>
        </w:rPr>
        <w:t>, where human life was not fragmented from its place in the vast world of nature:</w:t>
      </w:r>
    </w:p>
    <w:p w:rsidR="007467D0" w:rsidRDefault="007467D0" w:rsidP="007467D0">
      <w:pPr>
        <w:spacing w:line="360" w:lineRule="auto"/>
        <w:ind w:left="567" w:right="521"/>
        <w:rPr>
          <w:rFonts w:ascii="Bell MT" w:hAnsi="Bell MT"/>
        </w:rPr>
      </w:pPr>
      <w:r w:rsidRPr="00F50EA5">
        <w:rPr>
          <w:rFonts w:ascii="Bell MT" w:hAnsi="Bell MT"/>
        </w:rPr>
        <w:t xml:space="preserve">At the centre of the </w:t>
      </w:r>
      <w:proofErr w:type="spellStart"/>
      <w:r w:rsidRPr="00F50EA5">
        <w:rPr>
          <w:rFonts w:ascii="Bell MT" w:hAnsi="Bell MT"/>
        </w:rPr>
        <w:t>tapovan</w:t>
      </w:r>
      <w:proofErr w:type="spellEnd"/>
      <w:r w:rsidRPr="00F50EA5">
        <w:rPr>
          <w:rFonts w:ascii="Bell MT" w:hAnsi="Bell MT"/>
        </w:rPr>
        <w:t xml:space="preserve"> is the guru. He is not a machine, he is a being. Not in any passive way, but actively….to quicken the minds of his disciples in the forceful flow of </w:t>
      </w:r>
      <w:proofErr w:type="spellStart"/>
      <w:r w:rsidRPr="00F50EA5">
        <w:rPr>
          <w:rFonts w:ascii="Bell MT" w:hAnsi="Bell MT"/>
        </w:rPr>
        <w:t>tapasya</w:t>
      </w:r>
      <w:proofErr w:type="spellEnd"/>
      <w:r w:rsidRPr="00F50EA5">
        <w:rPr>
          <w:rFonts w:ascii="Bell MT" w:hAnsi="Bell MT"/>
        </w:rPr>
        <w:t xml:space="preserve">/penance is part of </w:t>
      </w:r>
      <w:r>
        <w:rPr>
          <w:rFonts w:ascii="Bell MT" w:hAnsi="Bell MT"/>
        </w:rPr>
        <w:t xml:space="preserve">his </w:t>
      </w:r>
      <w:proofErr w:type="spellStart"/>
      <w:r>
        <w:rPr>
          <w:rFonts w:ascii="Bell MT" w:hAnsi="Bell MT"/>
        </w:rPr>
        <w:t>sadhana</w:t>
      </w:r>
      <w:proofErr w:type="spellEnd"/>
      <w:r>
        <w:rPr>
          <w:rFonts w:ascii="Bell MT" w:hAnsi="Bell MT"/>
        </w:rPr>
        <w:t>/spiritual practice.</w:t>
      </w:r>
      <w:r>
        <w:rPr>
          <w:rStyle w:val="FootnoteReference"/>
          <w:rFonts w:ascii="Bell MT" w:hAnsi="Bell MT"/>
        </w:rPr>
        <w:footnoteReference w:id="10"/>
      </w:r>
      <w:r w:rsidRPr="00F50EA5">
        <w:rPr>
          <w:rFonts w:ascii="Bell MT" w:hAnsi="Bell MT"/>
        </w:rPr>
        <w:t xml:space="preserve"> </w:t>
      </w:r>
    </w:p>
    <w:p w:rsidR="007467D0" w:rsidRDefault="007467D0" w:rsidP="001829D1">
      <w:pPr>
        <w:spacing w:line="360" w:lineRule="auto"/>
        <w:ind w:right="95"/>
        <w:rPr>
          <w:rFonts w:ascii="Bell MT" w:hAnsi="Bell MT"/>
          <w:sz w:val="24"/>
        </w:rPr>
      </w:pPr>
    </w:p>
    <w:p w:rsidR="001829D1" w:rsidRDefault="00F62B4F" w:rsidP="001829D1">
      <w:pPr>
        <w:spacing w:line="360" w:lineRule="auto"/>
        <w:ind w:right="95"/>
        <w:rPr>
          <w:rFonts w:ascii="Bell MT" w:hAnsi="Bell MT"/>
          <w:sz w:val="24"/>
        </w:rPr>
      </w:pPr>
      <w:r>
        <w:rPr>
          <w:rFonts w:ascii="Bell MT" w:hAnsi="Bell MT"/>
          <w:sz w:val="24"/>
        </w:rPr>
        <w:t xml:space="preserve">Till 1907, the ashram remained conservatively </w:t>
      </w:r>
      <w:proofErr w:type="spellStart"/>
      <w:r>
        <w:rPr>
          <w:rFonts w:ascii="Bell MT" w:hAnsi="Bell MT"/>
          <w:sz w:val="24"/>
        </w:rPr>
        <w:t>brahminical</w:t>
      </w:r>
      <w:proofErr w:type="spellEnd"/>
      <w:r>
        <w:rPr>
          <w:rFonts w:ascii="Bell MT" w:hAnsi="Bell MT"/>
          <w:sz w:val="24"/>
        </w:rPr>
        <w:t xml:space="preserve"> in practice, Tagore’s own shifts co-</w:t>
      </w:r>
      <w:proofErr w:type="spellStart"/>
      <w:r>
        <w:rPr>
          <w:rFonts w:ascii="Bell MT" w:hAnsi="Bell MT"/>
          <w:sz w:val="24"/>
        </w:rPr>
        <w:t>inciding</w:t>
      </w:r>
      <w:proofErr w:type="spellEnd"/>
      <w:r>
        <w:rPr>
          <w:rFonts w:ascii="Bell MT" w:hAnsi="Bell MT"/>
          <w:sz w:val="24"/>
        </w:rPr>
        <w:t xml:space="preserve"> with the Hindu revivalist turn around the Partition of Bengal in 1905. The </w:t>
      </w:r>
      <w:r>
        <w:rPr>
          <w:rFonts w:ascii="Bell MT" w:hAnsi="Bell MT"/>
          <w:sz w:val="24"/>
        </w:rPr>
        <w:lastRenderedPageBreak/>
        <w:t>ashram was opened up only later in the 1910s to be more inclusive,</w:t>
      </w:r>
      <w:r>
        <w:rPr>
          <w:rStyle w:val="FootnoteReference"/>
          <w:rFonts w:ascii="Bell MT" w:hAnsi="Bell MT"/>
          <w:sz w:val="24"/>
        </w:rPr>
        <w:footnoteReference w:id="11"/>
      </w:r>
      <w:r>
        <w:rPr>
          <w:rFonts w:ascii="Bell MT" w:hAnsi="Bell MT"/>
          <w:sz w:val="24"/>
        </w:rPr>
        <w:t xml:space="preserve"> </w:t>
      </w:r>
      <w:r w:rsidR="001829D1">
        <w:rPr>
          <w:rFonts w:ascii="Bell MT" w:hAnsi="Bell MT"/>
          <w:sz w:val="24"/>
        </w:rPr>
        <w:t xml:space="preserve">renamed </w:t>
      </w:r>
      <w:proofErr w:type="spellStart"/>
      <w:r w:rsidR="001829D1">
        <w:rPr>
          <w:rFonts w:ascii="Bell MT" w:hAnsi="Bell MT"/>
          <w:sz w:val="24"/>
        </w:rPr>
        <w:t>Visvabharati</w:t>
      </w:r>
      <w:proofErr w:type="spellEnd"/>
      <w:r>
        <w:rPr>
          <w:rFonts w:ascii="Bell MT" w:hAnsi="Bell MT"/>
          <w:sz w:val="24"/>
        </w:rPr>
        <w:t xml:space="preserve"> (literally the world in India)</w:t>
      </w:r>
      <w:r w:rsidR="001829D1">
        <w:rPr>
          <w:rFonts w:ascii="Bell MT" w:hAnsi="Bell MT"/>
          <w:sz w:val="24"/>
        </w:rPr>
        <w:t xml:space="preserve">, to indicate the universal humanitarian turn in Tagore after his Nobel prize win in 1913, shedding its former conservatism. Even while Tagore emerged as a bitter critique of nationalism and champion of universalism, the </w:t>
      </w:r>
      <w:proofErr w:type="spellStart"/>
      <w:r w:rsidR="001829D1">
        <w:rPr>
          <w:rFonts w:ascii="Bell MT" w:hAnsi="Bell MT"/>
          <w:sz w:val="24"/>
        </w:rPr>
        <w:t>Shantiniketan</w:t>
      </w:r>
      <w:proofErr w:type="spellEnd"/>
      <w:r w:rsidR="001829D1">
        <w:rPr>
          <w:rFonts w:ascii="Bell MT" w:hAnsi="Bell MT"/>
          <w:sz w:val="24"/>
        </w:rPr>
        <w:t xml:space="preserve"> ashram was widely considered a nationalist institution, not in the sense Tagore was critiquing the concept, but as a syncretic space that was distinctively Indian and rooted in Indian traditions, celebrating indigenous music, art and culture.</w:t>
      </w:r>
      <w:r w:rsidR="001829D1">
        <w:rPr>
          <w:rStyle w:val="FootnoteReference"/>
          <w:rFonts w:ascii="Bell MT" w:hAnsi="Bell MT"/>
          <w:sz w:val="24"/>
        </w:rPr>
        <w:footnoteReference w:id="12"/>
      </w:r>
      <w:r w:rsidR="001829D1">
        <w:rPr>
          <w:rFonts w:ascii="Bell MT" w:hAnsi="Bell MT"/>
          <w:sz w:val="24"/>
        </w:rPr>
        <w:t xml:space="preserve"> Throughout his life, Tagore was captive to the notion of civilisation as a universal category that would expand continuously to included hitherto uncivilised geographies.</w:t>
      </w:r>
      <w:r w:rsidR="001829D1">
        <w:rPr>
          <w:rStyle w:val="FootnoteReference"/>
          <w:rFonts w:ascii="Bell MT" w:hAnsi="Bell MT"/>
          <w:sz w:val="24"/>
        </w:rPr>
        <w:footnoteReference w:id="13"/>
      </w:r>
      <w:r w:rsidR="001829D1">
        <w:rPr>
          <w:rFonts w:ascii="Bell MT" w:hAnsi="Bell MT"/>
          <w:sz w:val="24"/>
        </w:rPr>
        <w:t xml:space="preserve"> His ashram, he believed, was a particular way of reaching or celebrating that universal in civilisation.</w:t>
      </w:r>
      <w:r w:rsidR="001829D1">
        <w:rPr>
          <w:rStyle w:val="FootnoteReference"/>
          <w:rFonts w:ascii="Bell MT" w:hAnsi="Bell MT"/>
          <w:sz w:val="24"/>
        </w:rPr>
        <w:footnoteReference w:id="14"/>
      </w:r>
    </w:p>
    <w:p w:rsidR="005E7E2A" w:rsidRDefault="00F62B4F" w:rsidP="005D0572">
      <w:pPr>
        <w:spacing w:line="360" w:lineRule="auto"/>
        <w:ind w:right="-46"/>
        <w:rPr>
          <w:rFonts w:ascii="Bell MT" w:hAnsi="Bell MT"/>
          <w:sz w:val="24"/>
        </w:rPr>
      </w:pPr>
      <w:r>
        <w:rPr>
          <w:rFonts w:ascii="Bell MT" w:hAnsi="Bell MT"/>
          <w:sz w:val="24"/>
        </w:rPr>
        <w:t xml:space="preserve">On the other hand, </w:t>
      </w:r>
      <w:r w:rsidR="005D0572">
        <w:rPr>
          <w:rFonts w:ascii="Bell MT" w:hAnsi="Bell MT"/>
          <w:sz w:val="24"/>
        </w:rPr>
        <w:t xml:space="preserve">Gandhi saw his ashram efforts as </w:t>
      </w:r>
      <w:r w:rsidR="004727E5">
        <w:rPr>
          <w:rFonts w:ascii="Bell MT" w:hAnsi="Bell MT"/>
          <w:sz w:val="24"/>
        </w:rPr>
        <w:t xml:space="preserve">creating </w:t>
      </w:r>
      <w:r w:rsidR="005D0572">
        <w:rPr>
          <w:rFonts w:ascii="Bell MT" w:hAnsi="Bell MT"/>
          <w:sz w:val="24"/>
        </w:rPr>
        <w:t>a ‘community of men of religion’.</w:t>
      </w:r>
      <w:r w:rsidR="005D0572">
        <w:rPr>
          <w:rStyle w:val="FootnoteReference"/>
          <w:rFonts w:ascii="Bell MT" w:hAnsi="Bell MT"/>
          <w:sz w:val="24"/>
        </w:rPr>
        <w:footnoteReference w:id="15"/>
      </w:r>
      <w:r w:rsidR="005D0572">
        <w:rPr>
          <w:rFonts w:ascii="Bell MT" w:hAnsi="Bell MT"/>
          <w:sz w:val="24"/>
        </w:rPr>
        <w:t xml:space="preserve"> The Russian novelist Leo Tolstoy’s critique of industrial modernity, and the social alienation bred by such a modernity influenced Gandhi deeply, as also the late 19</w:t>
      </w:r>
      <w:r w:rsidR="005D0572" w:rsidRPr="00887853">
        <w:rPr>
          <w:rFonts w:ascii="Bell MT" w:hAnsi="Bell MT"/>
          <w:sz w:val="24"/>
          <w:vertAlign w:val="superscript"/>
        </w:rPr>
        <w:t>th</w:t>
      </w:r>
      <w:r w:rsidR="005D0572">
        <w:rPr>
          <w:rFonts w:ascii="Bell MT" w:hAnsi="Bell MT"/>
          <w:sz w:val="24"/>
        </w:rPr>
        <w:t xml:space="preserve"> century British social critic John Ruskin. Both Tolstoy and Ruskin saw in modern civilisation’s avowal of materialist excesses a ‘devastating retreat from morality’.</w:t>
      </w:r>
      <w:r w:rsidR="005D0572">
        <w:rPr>
          <w:rStyle w:val="FootnoteReference"/>
          <w:rFonts w:ascii="Bell MT" w:hAnsi="Bell MT"/>
          <w:sz w:val="24"/>
        </w:rPr>
        <w:footnoteReference w:id="16"/>
      </w:r>
      <w:r w:rsidR="005D0572">
        <w:rPr>
          <w:rFonts w:ascii="Bell MT" w:hAnsi="Bell MT"/>
          <w:sz w:val="24"/>
        </w:rPr>
        <w:t xml:space="preserve"> They inspired his early experiments in commune living</w:t>
      </w:r>
      <w:r w:rsidR="00736A87">
        <w:rPr>
          <w:rFonts w:ascii="Bell MT" w:hAnsi="Bell MT"/>
          <w:sz w:val="24"/>
        </w:rPr>
        <w:t xml:space="preserve"> in South Africa</w:t>
      </w:r>
      <w:r w:rsidR="005D0572">
        <w:rPr>
          <w:rFonts w:ascii="Bell MT" w:hAnsi="Bell MT"/>
          <w:sz w:val="24"/>
        </w:rPr>
        <w:t xml:space="preserve"> as a way to flatten the hierarchies created by capital</w:t>
      </w:r>
      <w:r w:rsidR="00736A87">
        <w:rPr>
          <w:rFonts w:ascii="Bell MT" w:hAnsi="Bell MT"/>
          <w:sz w:val="24"/>
        </w:rPr>
        <w:t>. It was</w:t>
      </w:r>
      <w:r w:rsidR="005D0572">
        <w:rPr>
          <w:rFonts w:ascii="Bell MT" w:hAnsi="Bell MT"/>
          <w:sz w:val="24"/>
        </w:rPr>
        <w:t xml:space="preserve"> part of a larger trend in</w:t>
      </w:r>
      <w:r w:rsidR="00736A87">
        <w:rPr>
          <w:rFonts w:ascii="Bell MT" w:hAnsi="Bell MT"/>
          <w:sz w:val="24"/>
        </w:rPr>
        <w:t xml:space="preserve"> the</w:t>
      </w:r>
      <w:r w:rsidR="005D0572">
        <w:rPr>
          <w:rFonts w:ascii="Bell MT" w:hAnsi="Bell MT"/>
          <w:sz w:val="24"/>
        </w:rPr>
        <w:t xml:space="preserve"> late 1880s that </w:t>
      </w:r>
      <w:r w:rsidR="005D0572">
        <w:rPr>
          <w:rFonts w:ascii="Bell MT" w:hAnsi="Bell MT" w:cs="TimesNewRomanPSMT"/>
          <w:sz w:val="24"/>
          <w:szCs w:val="24"/>
        </w:rPr>
        <w:t>saw several British thinkers experimenting with socialist commune models, as a response to the growing inequalities caused by industrialisation</w:t>
      </w:r>
      <w:r w:rsidR="005D0572">
        <w:rPr>
          <w:rFonts w:ascii="Bell MT" w:hAnsi="Bell MT"/>
          <w:sz w:val="24"/>
        </w:rPr>
        <w:t>.</w:t>
      </w:r>
      <w:r w:rsidR="005D0572">
        <w:rPr>
          <w:rStyle w:val="FootnoteReference"/>
          <w:rFonts w:ascii="Bell MT" w:hAnsi="Bell MT"/>
          <w:sz w:val="24"/>
        </w:rPr>
        <w:footnoteReference w:id="17"/>
      </w:r>
      <w:r w:rsidR="005D0572">
        <w:rPr>
          <w:rFonts w:ascii="Bell MT" w:hAnsi="Bell MT"/>
          <w:sz w:val="24"/>
        </w:rPr>
        <w:t xml:space="preserve"> </w:t>
      </w:r>
      <w:r w:rsidR="004727E5">
        <w:rPr>
          <w:rFonts w:ascii="Bell MT" w:hAnsi="Bell MT"/>
          <w:sz w:val="24"/>
        </w:rPr>
        <w:t>Gandhi</w:t>
      </w:r>
      <w:r w:rsidR="004727E5" w:rsidRPr="005E7E2A">
        <w:rPr>
          <w:rFonts w:ascii="Bell MT" w:hAnsi="Bell MT"/>
          <w:sz w:val="24"/>
        </w:rPr>
        <w:t xml:space="preserve"> had dabbled briefly in the vegetarian movement in </w:t>
      </w:r>
      <w:proofErr w:type="gramStart"/>
      <w:r w:rsidR="004727E5" w:rsidRPr="005E7E2A">
        <w:rPr>
          <w:rFonts w:ascii="Bell MT" w:hAnsi="Bell MT"/>
          <w:sz w:val="24"/>
        </w:rPr>
        <w:t xml:space="preserve">London, </w:t>
      </w:r>
      <w:r w:rsidR="00736A87">
        <w:rPr>
          <w:rFonts w:ascii="Bell MT" w:hAnsi="Bell MT"/>
          <w:sz w:val="24"/>
        </w:rPr>
        <w:t>that</w:t>
      </w:r>
      <w:proofErr w:type="gramEnd"/>
      <w:r w:rsidR="00736A87">
        <w:rPr>
          <w:rFonts w:ascii="Bell MT" w:hAnsi="Bell MT"/>
          <w:sz w:val="24"/>
        </w:rPr>
        <w:t xml:space="preserve"> was </w:t>
      </w:r>
      <w:r w:rsidR="004727E5" w:rsidRPr="005E7E2A">
        <w:rPr>
          <w:rFonts w:ascii="Bell MT" w:hAnsi="Bell MT"/>
          <w:sz w:val="24"/>
        </w:rPr>
        <w:t>part of the heterodox fin-de-siècle fringe</w:t>
      </w:r>
      <w:r w:rsidR="004727E5">
        <w:rPr>
          <w:rFonts w:ascii="Bell MT" w:hAnsi="Bell MT"/>
          <w:sz w:val="24"/>
        </w:rPr>
        <w:t>.</w:t>
      </w:r>
      <w:r w:rsidR="004727E5" w:rsidRPr="005E7E2A">
        <w:rPr>
          <w:rFonts w:ascii="Bell MT" w:hAnsi="Bell MT"/>
          <w:sz w:val="24"/>
        </w:rPr>
        <w:t xml:space="preserve"> </w:t>
      </w:r>
      <w:r w:rsidR="005D0572">
        <w:rPr>
          <w:rFonts w:ascii="Bell MT" w:hAnsi="Bell MT"/>
          <w:sz w:val="24"/>
        </w:rPr>
        <w:t xml:space="preserve">In South Africa, Gandhi founded the Phoenix settlement (1904) and Tolstoy Farms (1908) </w:t>
      </w:r>
      <w:r w:rsidR="00567ECE">
        <w:rPr>
          <w:rFonts w:ascii="Bell MT" w:hAnsi="Bell MT"/>
          <w:sz w:val="24"/>
        </w:rPr>
        <w:t xml:space="preserve">in rural patches of </w:t>
      </w:r>
      <w:r w:rsidR="00567ECE">
        <w:rPr>
          <w:rFonts w:ascii="Bell MT" w:hAnsi="Bell MT"/>
          <w:sz w:val="24"/>
        </w:rPr>
        <w:lastRenderedPageBreak/>
        <w:t xml:space="preserve">land in Natal, </w:t>
      </w:r>
      <w:r w:rsidR="005D0572">
        <w:rPr>
          <w:rFonts w:ascii="Bell MT" w:hAnsi="Bell MT"/>
          <w:sz w:val="24"/>
        </w:rPr>
        <w:t xml:space="preserve">along with his </w:t>
      </w:r>
      <w:r w:rsidR="004727E5">
        <w:rPr>
          <w:rFonts w:ascii="Bell MT" w:hAnsi="Bell MT"/>
          <w:sz w:val="24"/>
        </w:rPr>
        <w:t xml:space="preserve">Jewish </w:t>
      </w:r>
      <w:r w:rsidR="005D0572">
        <w:rPr>
          <w:rFonts w:ascii="Bell MT" w:hAnsi="Bell MT"/>
          <w:sz w:val="24"/>
        </w:rPr>
        <w:t xml:space="preserve">followers and colleagues Henry </w:t>
      </w:r>
      <w:proofErr w:type="spellStart"/>
      <w:r w:rsidR="005D0572">
        <w:rPr>
          <w:rFonts w:ascii="Bell MT" w:hAnsi="Bell MT"/>
          <w:sz w:val="24"/>
        </w:rPr>
        <w:t>Polak</w:t>
      </w:r>
      <w:proofErr w:type="spellEnd"/>
      <w:r w:rsidR="005D0572">
        <w:rPr>
          <w:rFonts w:ascii="Bell MT" w:hAnsi="Bell MT"/>
          <w:sz w:val="24"/>
        </w:rPr>
        <w:t xml:space="preserve"> and Hermann </w:t>
      </w:r>
      <w:proofErr w:type="spellStart"/>
      <w:r w:rsidR="005D0572">
        <w:rPr>
          <w:rFonts w:ascii="Bell MT" w:hAnsi="Bell MT"/>
          <w:sz w:val="24"/>
        </w:rPr>
        <w:t>Kallenbach</w:t>
      </w:r>
      <w:proofErr w:type="spellEnd"/>
      <w:r w:rsidR="005D0572">
        <w:rPr>
          <w:rFonts w:ascii="Bell MT" w:hAnsi="Bell MT"/>
          <w:sz w:val="24"/>
        </w:rPr>
        <w:t xml:space="preserve">. </w:t>
      </w:r>
      <w:proofErr w:type="spellStart"/>
      <w:r w:rsidR="005D0572">
        <w:rPr>
          <w:rFonts w:ascii="Bell MT" w:hAnsi="Bell MT"/>
          <w:sz w:val="24"/>
        </w:rPr>
        <w:t>Polak</w:t>
      </w:r>
      <w:proofErr w:type="spellEnd"/>
      <w:r w:rsidR="005D0572">
        <w:rPr>
          <w:rFonts w:ascii="Bell MT" w:hAnsi="Bell MT"/>
          <w:sz w:val="24"/>
        </w:rPr>
        <w:t xml:space="preserve"> was an English journalist and radical Jew and Hermann </w:t>
      </w:r>
      <w:proofErr w:type="spellStart"/>
      <w:r w:rsidR="005D0572">
        <w:rPr>
          <w:rFonts w:ascii="Bell MT" w:hAnsi="Bell MT"/>
          <w:sz w:val="24"/>
        </w:rPr>
        <w:t>Kallenbach</w:t>
      </w:r>
      <w:proofErr w:type="spellEnd"/>
      <w:r w:rsidR="005D0572">
        <w:rPr>
          <w:rFonts w:ascii="Bell MT" w:hAnsi="Bell MT"/>
          <w:sz w:val="24"/>
        </w:rPr>
        <w:t>, a German architect</w:t>
      </w:r>
      <w:r w:rsidR="004727E5">
        <w:rPr>
          <w:rFonts w:ascii="Bell MT" w:hAnsi="Bell MT"/>
          <w:sz w:val="24"/>
        </w:rPr>
        <w:t xml:space="preserve"> (who went on to become a Zionist)</w:t>
      </w:r>
      <w:r w:rsidR="00736A87">
        <w:rPr>
          <w:rFonts w:ascii="Bell MT" w:hAnsi="Bell MT"/>
          <w:sz w:val="24"/>
        </w:rPr>
        <w:t>.</w:t>
      </w:r>
      <w:r w:rsidR="005D0572">
        <w:rPr>
          <w:rFonts w:ascii="Bell MT" w:hAnsi="Bell MT"/>
          <w:sz w:val="24"/>
        </w:rPr>
        <w:t xml:space="preserve"> </w:t>
      </w:r>
      <w:r w:rsidR="00736A87">
        <w:rPr>
          <w:rFonts w:ascii="Bell MT" w:hAnsi="Bell MT"/>
          <w:sz w:val="24"/>
        </w:rPr>
        <w:t>B</w:t>
      </w:r>
      <w:r w:rsidR="005D0572">
        <w:rPr>
          <w:rFonts w:ascii="Bell MT" w:hAnsi="Bell MT"/>
          <w:sz w:val="24"/>
        </w:rPr>
        <w:t>oth</w:t>
      </w:r>
      <w:r w:rsidR="00736A87">
        <w:rPr>
          <w:rFonts w:ascii="Bell MT" w:hAnsi="Bell MT"/>
          <w:sz w:val="24"/>
        </w:rPr>
        <w:t xml:space="preserve"> </w:t>
      </w:r>
      <w:r w:rsidR="005D0572">
        <w:rPr>
          <w:rFonts w:ascii="Bell MT" w:hAnsi="Bell MT"/>
          <w:sz w:val="24"/>
        </w:rPr>
        <w:t xml:space="preserve">of </w:t>
      </w:r>
      <w:r w:rsidR="00736A87">
        <w:rPr>
          <w:rFonts w:ascii="Bell MT" w:hAnsi="Bell MT"/>
          <w:sz w:val="24"/>
        </w:rPr>
        <w:t>them</w:t>
      </w:r>
      <w:r w:rsidR="005D0572">
        <w:rPr>
          <w:rFonts w:ascii="Bell MT" w:hAnsi="Bell MT"/>
          <w:sz w:val="24"/>
        </w:rPr>
        <w:t xml:space="preserve"> played central roles in </w:t>
      </w:r>
      <w:r w:rsidR="00736A87">
        <w:rPr>
          <w:rFonts w:ascii="Bell MT" w:hAnsi="Bell MT"/>
          <w:sz w:val="24"/>
        </w:rPr>
        <w:t>the</w:t>
      </w:r>
      <w:r w:rsidR="005D0572">
        <w:rPr>
          <w:rFonts w:ascii="Bell MT" w:hAnsi="Bell MT"/>
          <w:sz w:val="24"/>
        </w:rPr>
        <w:t xml:space="preserve"> </w:t>
      </w:r>
      <w:proofErr w:type="spellStart"/>
      <w:r w:rsidR="005D0572">
        <w:rPr>
          <w:rFonts w:ascii="Bell MT" w:hAnsi="Bell MT"/>
          <w:sz w:val="24"/>
        </w:rPr>
        <w:t>satyagraha</w:t>
      </w:r>
      <w:proofErr w:type="spellEnd"/>
      <w:r w:rsidR="00736A87">
        <w:rPr>
          <w:rFonts w:ascii="Bell MT" w:hAnsi="Bell MT"/>
          <w:sz w:val="24"/>
        </w:rPr>
        <w:t>/passive resistance movement</w:t>
      </w:r>
      <w:r w:rsidR="005D0572">
        <w:rPr>
          <w:rFonts w:ascii="Bell MT" w:hAnsi="Bell MT"/>
          <w:sz w:val="24"/>
        </w:rPr>
        <w:t xml:space="preserve"> against </w:t>
      </w:r>
      <w:r w:rsidR="00736A87">
        <w:rPr>
          <w:rFonts w:ascii="Bell MT" w:hAnsi="Bell MT"/>
          <w:sz w:val="24"/>
        </w:rPr>
        <w:t>anti-Asiatic racist legislations</w:t>
      </w:r>
      <w:r w:rsidR="005D0572">
        <w:rPr>
          <w:rFonts w:ascii="Bell MT" w:hAnsi="Bell MT"/>
          <w:sz w:val="24"/>
        </w:rPr>
        <w:t xml:space="preserve"> in the 1900s</w:t>
      </w:r>
      <w:r w:rsidR="00736A87">
        <w:rPr>
          <w:rFonts w:ascii="Bell MT" w:hAnsi="Bell MT"/>
          <w:sz w:val="24"/>
        </w:rPr>
        <w:t xml:space="preserve"> South Africa</w:t>
      </w:r>
      <w:r w:rsidR="00685F1B">
        <w:rPr>
          <w:rFonts w:ascii="Bell MT" w:hAnsi="Bell MT"/>
          <w:sz w:val="24"/>
        </w:rPr>
        <w:t>.</w:t>
      </w:r>
    </w:p>
    <w:p w:rsidR="00685F1B" w:rsidRPr="00685F1B" w:rsidRDefault="00685F1B" w:rsidP="005F2CB8">
      <w:pPr>
        <w:spacing w:line="360" w:lineRule="auto"/>
        <w:rPr>
          <w:rFonts w:ascii="Bell MT" w:hAnsi="Bell MT"/>
          <w:sz w:val="24"/>
        </w:rPr>
      </w:pPr>
      <w:r w:rsidRPr="00685F1B">
        <w:rPr>
          <w:rFonts w:ascii="Bell MT" w:hAnsi="Bell MT"/>
          <w:sz w:val="24"/>
        </w:rPr>
        <w:t>Located in</w:t>
      </w:r>
      <w:r>
        <w:rPr>
          <w:rFonts w:ascii="Bell MT" w:hAnsi="Bell MT"/>
          <w:sz w:val="24"/>
        </w:rPr>
        <w:t xml:space="preserve"> the wilderness, the Phoenix settlement came to emulate a forest habitation, from where the influential ‘Indian Opinion’ journal was run, along with several projects </w:t>
      </w:r>
      <w:r w:rsidR="005F2CB8">
        <w:rPr>
          <w:rFonts w:ascii="Bell MT" w:hAnsi="Bell MT"/>
          <w:sz w:val="24"/>
        </w:rPr>
        <w:t>representing</w:t>
      </w:r>
      <w:r>
        <w:rPr>
          <w:rFonts w:ascii="Bell MT" w:hAnsi="Bell MT"/>
          <w:sz w:val="24"/>
        </w:rPr>
        <w:t xml:space="preserve"> indentured and non-indentured </w:t>
      </w:r>
      <w:r w:rsidR="005F2CB8">
        <w:rPr>
          <w:rFonts w:ascii="Bell MT" w:hAnsi="Bell MT"/>
          <w:sz w:val="24"/>
        </w:rPr>
        <w:t xml:space="preserve">Indian </w:t>
      </w:r>
      <w:r>
        <w:rPr>
          <w:rFonts w:ascii="Bell MT" w:hAnsi="Bell MT"/>
          <w:sz w:val="24"/>
        </w:rPr>
        <w:t xml:space="preserve">migrants in South Africa. </w:t>
      </w:r>
      <w:r w:rsidR="005F2CB8">
        <w:rPr>
          <w:rFonts w:ascii="Bell MT" w:hAnsi="Bell MT"/>
          <w:sz w:val="24"/>
        </w:rPr>
        <w:t>Gandhi undertook numerous dietary and living experiments in these settlements,</w:t>
      </w:r>
      <w:r w:rsidR="00736A87">
        <w:rPr>
          <w:rFonts w:ascii="Bell MT" w:hAnsi="Bell MT"/>
          <w:sz w:val="24"/>
        </w:rPr>
        <w:t xml:space="preserve"> run like a co-operative effort,</w:t>
      </w:r>
      <w:r w:rsidR="005F2CB8">
        <w:rPr>
          <w:rFonts w:ascii="Bell MT" w:hAnsi="Bell MT"/>
          <w:sz w:val="24"/>
        </w:rPr>
        <w:t xml:space="preserve"> </w:t>
      </w:r>
      <w:r w:rsidR="00736A87">
        <w:rPr>
          <w:rFonts w:ascii="Bell MT" w:hAnsi="Bell MT"/>
          <w:sz w:val="24"/>
        </w:rPr>
        <w:t>experimenting with</w:t>
      </w:r>
      <w:r w:rsidR="005F2CB8">
        <w:rPr>
          <w:rFonts w:ascii="Bell MT" w:hAnsi="Bell MT"/>
          <w:sz w:val="24"/>
        </w:rPr>
        <w:t xml:space="preserve"> vegetarian diets and nature cure such as mud and water therapies, </w:t>
      </w:r>
      <w:r w:rsidR="00736A87">
        <w:rPr>
          <w:rFonts w:ascii="Bell MT" w:hAnsi="Bell MT"/>
          <w:sz w:val="24"/>
        </w:rPr>
        <w:t xml:space="preserve">and </w:t>
      </w:r>
      <w:r w:rsidR="005F2CB8">
        <w:rPr>
          <w:rFonts w:ascii="Bell MT" w:hAnsi="Bell MT"/>
          <w:sz w:val="24"/>
        </w:rPr>
        <w:t xml:space="preserve">refusing to </w:t>
      </w:r>
      <w:r w:rsidR="00736A87">
        <w:rPr>
          <w:rFonts w:ascii="Bell MT" w:hAnsi="Bell MT"/>
          <w:sz w:val="24"/>
        </w:rPr>
        <w:t>give in to</w:t>
      </w:r>
      <w:r w:rsidR="005F2CB8">
        <w:rPr>
          <w:rFonts w:ascii="Bell MT" w:hAnsi="Bell MT"/>
          <w:sz w:val="24"/>
        </w:rPr>
        <w:t xml:space="preserve"> western medicine. </w:t>
      </w:r>
      <w:r>
        <w:rPr>
          <w:rFonts w:ascii="Bell MT" w:hAnsi="Bell MT"/>
          <w:sz w:val="24"/>
        </w:rPr>
        <w:t xml:space="preserve">It did not </w:t>
      </w:r>
      <w:r w:rsidR="00736A87">
        <w:rPr>
          <w:rFonts w:ascii="Bell MT" w:hAnsi="Bell MT"/>
          <w:sz w:val="24"/>
        </w:rPr>
        <w:t xml:space="preserve">practice caste injunctions and was </w:t>
      </w:r>
      <w:r>
        <w:rPr>
          <w:rFonts w:ascii="Bell MT" w:hAnsi="Bell MT"/>
          <w:sz w:val="24"/>
        </w:rPr>
        <w:t>yet</w:t>
      </w:r>
      <w:r w:rsidR="00736A87">
        <w:rPr>
          <w:rFonts w:ascii="Bell MT" w:hAnsi="Bell MT"/>
          <w:sz w:val="24"/>
        </w:rPr>
        <w:t xml:space="preserve"> to</w:t>
      </w:r>
      <w:r>
        <w:rPr>
          <w:rFonts w:ascii="Bell MT" w:hAnsi="Bell MT"/>
          <w:sz w:val="24"/>
        </w:rPr>
        <w:t xml:space="preserve"> impose compulsory celibacy on its inhabitants, a practice that would only come to be enforced in </w:t>
      </w:r>
      <w:r w:rsidR="00736A87">
        <w:rPr>
          <w:rFonts w:ascii="Bell MT" w:hAnsi="Bell MT"/>
          <w:sz w:val="24"/>
        </w:rPr>
        <w:t xml:space="preserve">1917 with </w:t>
      </w:r>
      <w:r>
        <w:rPr>
          <w:rFonts w:ascii="Bell MT" w:hAnsi="Bell MT"/>
          <w:sz w:val="24"/>
        </w:rPr>
        <w:t xml:space="preserve">his Sabarmati ashram in India. </w:t>
      </w:r>
    </w:p>
    <w:p w:rsidR="007467D0" w:rsidRDefault="007467D0" w:rsidP="007467D0">
      <w:pPr>
        <w:spacing w:line="360" w:lineRule="auto"/>
        <w:rPr>
          <w:rFonts w:ascii="Bell MT" w:hAnsi="Bell MT"/>
          <w:sz w:val="24"/>
        </w:rPr>
      </w:pPr>
      <w:r>
        <w:rPr>
          <w:rFonts w:ascii="Bell MT" w:hAnsi="Bell MT"/>
          <w:sz w:val="24"/>
        </w:rPr>
        <w:t xml:space="preserve">These practices continued with his Satyagraha ashram in </w:t>
      </w:r>
      <w:proofErr w:type="gramStart"/>
      <w:r>
        <w:rPr>
          <w:rFonts w:ascii="Bell MT" w:hAnsi="Bell MT"/>
          <w:sz w:val="24"/>
        </w:rPr>
        <w:t>Sabarmati</w:t>
      </w:r>
      <w:r w:rsidRPr="00345E38">
        <w:rPr>
          <w:rFonts w:ascii="Bell MT" w:hAnsi="Bell MT"/>
          <w:sz w:val="24"/>
        </w:rPr>
        <w:t>(</w:t>
      </w:r>
      <w:proofErr w:type="gramEnd"/>
      <w:r w:rsidRPr="00345E38">
        <w:rPr>
          <w:rFonts w:ascii="Bell MT" w:hAnsi="Bell MT"/>
          <w:sz w:val="24"/>
        </w:rPr>
        <w:t>1917)</w:t>
      </w:r>
      <w:r>
        <w:rPr>
          <w:rFonts w:ascii="Bell MT" w:hAnsi="Bell MT"/>
          <w:sz w:val="24"/>
        </w:rPr>
        <w:t xml:space="preserve">, his first ashram in India. The Sabarmati ashram was an attempt to create a non-hierarchical ideal society, emphatically effacing boundaries of class, caste and religion. Gandhi saw in such a society, to follow the cultural psychologist </w:t>
      </w:r>
      <w:proofErr w:type="spellStart"/>
      <w:r>
        <w:rPr>
          <w:rFonts w:ascii="Bell MT" w:hAnsi="Bell MT"/>
          <w:sz w:val="24"/>
        </w:rPr>
        <w:t>Ashis</w:t>
      </w:r>
      <w:proofErr w:type="spellEnd"/>
      <w:r>
        <w:rPr>
          <w:rFonts w:ascii="Bell MT" w:hAnsi="Bell MT"/>
          <w:sz w:val="24"/>
        </w:rPr>
        <w:t xml:space="preserve"> </w:t>
      </w:r>
      <w:proofErr w:type="spellStart"/>
      <w:r>
        <w:rPr>
          <w:rFonts w:ascii="Bell MT" w:hAnsi="Bell MT"/>
          <w:sz w:val="24"/>
        </w:rPr>
        <w:t>Nandy</w:t>
      </w:r>
      <w:proofErr w:type="spellEnd"/>
      <w:r>
        <w:rPr>
          <w:rFonts w:ascii="Bell MT" w:hAnsi="Bell MT"/>
          <w:sz w:val="24"/>
        </w:rPr>
        <w:t xml:space="preserve">, a possible utopia and rescue from the dehumanisation and fragmentation of life enforced by a fearful techno-modernity. Individual selves had to be diminished to cultivate a flattened ashram ethic that was deeply regulated. </w:t>
      </w:r>
      <w:proofErr w:type="spellStart"/>
      <w:r w:rsidRPr="005050F9">
        <w:rPr>
          <w:rFonts w:ascii="Bell MT" w:hAnsi="Bell MT"/>
          <w:sz w:val="24"/>
        </w:rPr>
        <w:t>Ashramites</w:t>
      </w:r>
      <w:proofErr w:type="spellEnd"/>
      <w:r w:rsidRPr="005050F9">
        <w:rPr>
          <w:rFonts w:ascii="Bell MT" w:hAnsi="Bell MT"/>
          <w:sz w:val="24"/>
        </w:rPr>
        <w:t xml:space="preserve"> were to consider themselves as vessels for collective moral action, rather than engage in pursuits of curiosity or creative impulses.</w:t>
      </w:r>
      <w:r>
        <w:rPr>
          <w:rStyle w:val="FootnoteReference"/>
          <w:rFonts w:ascii="Bell MT" w:hAnsi="Bell MT"/>
          <w:sz w:val="24"/>
        </w:rPr>
        <w:footnoteReference w:id="18"/>
      </w:r>
      <w:r>
        <w:rPr>
          <w:rFonts w:ascii="Bell MT" w:hAnsi="Bell MT"/>
          <w:sz w:val="24"/>
        </w:rPr>
        <w:t xml:space="preserve"> Their bodies and bodily desires were rigidly policed and shamed for any subsequent lapse.</w:t>
      </w:r>
      <w:r>
        <w:rPr>
          <w:rStyle w:val="FootnoteReference"/>
          <w:rFonts w:ascii="Bell MT" w:hAnsi="Bell MT"/>
          <w:sz w:val="24"/>
        </w:rPr>
        <w:footnoteReference w:id="19"/>
      </w:r>
      <w:r>
        <w:rPr>
          <w:rFonts w:ascii="Bell MT" w:hAnsi="Bell MT"/>
          <w:sz w:val="24"/>
        </w:rPr>
        <w:t xml:space="preserve"> Gandhi built the Sabarmati ashram to train </w:t>
      </w:r>
      <w:proofErr w:type="spellStart"/>
      <w:r>
        <w:rPr>
          <w:rFonts w:ascii="Bell MT" w:hAnsi="Bell MT"/>
          <w:sz w:val="24"/>
        </w:rPr>
        <w:t>satyagrahis</w:t>
      </w:r>
      <w:proofErr w:type="spellEnd"/>
      <w:r w:rsidR="00567ECE">
        <w:rPr>
          <w:rFonts w:ascii="Bell MT" w:hAnsi="Bell MT"/>
          <w:sz w:val="24"/>
        </w:rPr>
        <w:t xml:space="preserve"> (passive resisters)</w:t>
      </w:r>
      <w:r>
        <w:rPr>
          <w:rFonts w:ascii="Bell MT" w:hAnsi="Bell MT"/>
          <w:sz w:val="24"/>
        </w:rPr>
        <w:t xml:space="preserve"> for future anti-colonial political movements and nation building activities such as the promotion of </w:t>
      </w:r>
      <w:proofErr w:type="spellStart"/>
      <w:r>
        <w:rPr>
          <w:rFonts w:ascii="Bell MT" w:hAnsi="Bell MT"/>
          <w:sz w:val="24"/>
        </w:rPr>
        <w:t>khadi</w:t>
      </w:r>
      <w:proofErr w:type="spellEnd"/>
      <w:r>
        <w:rPr>
          <w:rFonts w:ascii="Bell MT" w:hAnsi="Bell MT"/>
          <w:sz w:val="24"/>
        </w:rPr>
        <w:t xml:space="preserve"> and removal of untouchability. Restating on multiple occasions his critique of modernity and the ashram as a bearer of anti-modern experiments, Sabarmati was nonetheless sustained by generous donations from Bombay and Gujarati industrial capitalists. </w:t>
      </w:r>
    </w:p>
    <w:p w:rsidR="002A0956" w:rsidRPr="005E7E2A" w:rsidRDefault="005F2CB8" w:rsidP="002A0956">
      <w:pPr>
        <w:spacing w:line="360" w:lineRule="auto"/>
        <w:ind w:right="95"/>
        <w:rPr>
          <w:rFonts w:ascii="Bell MT" w:hAnsi="Bell MT"/>
          <w:sz w:val="24"/>
        </w:rPr>
      </w:pPr>
      <w:r w:rsidRPr="005E7E2A">
        <w:rPr>
          <w:rFonts w:ascii="Bell MT" w:hAnsi="Bell MT"/>
          <w:sz w:val="24"/>
        </w:rPr>
        <w:t>The forest had come to inspire both Tagore and Gandhi. Simulations of forest</w:t>
      </w:r>
      <w:r w:rsidR="00736A87">
        <w:rPr>
          <w:rFonts w:ascii="Bell MT" w:hAnsi="Bell MT"/>
          <w:sz w:val="24"/>
        </w:rPr>
        <w:t>-communities</w:t>
      </w:r>
      <w:r w:rsidRPr="005E7E2A">
        <w:rPr>
          <w:rFonts w:ascii="Bell MT" w:hAnsi="Bell MT"/>
          <w:sz w:val="24"/>
        </w:rPr>
        <w:t xml:space="preserve"> came to represent a constitutive trope </w:t>
      </w:r>
      <w:r w:rsidR="00736A87">
        <w:rPr>
          <w:rFonts w:ascii="Bell MT" w:hAnsi="Bell MT"/>
          <w:sz w:val="24"/>
        </w:rPr>
        <w:t xml:space="preserve">for </w:t>
      </w:r>
      <w:r>
        <w:rPr>
          <w:rFonts w:ascii="Bell MT" w:hAnsi="Bell MT"/>
          <w:sz w:val="24"/>
        </w:rPr>
        <w:t xml:space="preserve">imagining alternative </w:t>
      </w:r>
      <w:proofErr w:type="spellStart"/>
      <w:r>
        <w:rPr>
          <w:rFonts w:ascii="Bell MT" w:hAnsi="Bell MT"/>
          <w:sz w:val="24"/>
        </w:rPr>
        <w:t>modernities</w:t>
      </w:r>
      <w:proofErr w:type="spellEnd"/>
      <w:r w:rsidRPr="005E7E2A">
        <w:rPr>
          <w:rFonts w:ascii="Bell MT" w:hAnsi="Bell MT"/>
          <w:sz w:val="24"/>
        </w:rPr>
        <w:t xml:space="preserve">, seen across the ashram experiments of </w:t>
      </w:r>
      <w:r>
        <w:rPr>
          <w:rFonts w:ascii="Bell MT" w:hAnsi="Bell MT"/>
          <w:sz w:val="24"/>
        </w:rPr>
        <w:t xml:space="preserve">not only </w:t>
      </w:r>
      <w:r w:rsidRPr="005E7E2A">
        <w:rPr>
          <w:rFonts w:ascii="Bell MT" w:hAnsi="Bell MT"/>
          <w:sz w:val="24"/>
        </w:rPr>
        <w:t>Tagore</w:t>
      </w:r>
      <w:r>
        <w:rPr>
          <w:rFonts w:ascii="Bell MT" w:hAnsi="Bell MT"/>
          <w:sz w:val="24"/>
        </w:rPr>
        <w:t xml:space="preserve"> and Gandhi but other Hindu </w:t>
      </w:r>
      <w:r>
        <w:rPr>
          <w:rFonts w:ascii="Bell MT" w:hAnsi="Bell MT"/>
          <w:sz w:val="24"/>
        </w:rPr>
        <w:lastRenderedPageBreak/>
        <w:t>Indian leaders such as</w:t>
      </w:r>
      <w:r w:rsidRPr="005E7E2A">
        <w:rPr>
          <w:rFonts w:ascii="Bell MT" w:hAnsi="Bell MT"/>
          <w:sz w:val="24"/>
        </w:rPr>
        <w:t xml:space="preserve"> </w:t>
      </w:r>
      <w:proofErr w:type="spellStart"/>
      <w:r w:rsidRPr="005E7E2A">
        <w:rPr>
          <w:rFonts w:ascii="Bell MT" w:hAnsi="Bell MT"/>
          <w:sz w:val="24"/>
        </w:rPr>
        <w:t>Munshi</w:t>
      </w:r>
      <w:proofErr w:type="spellEnd"/>
      <w:r w:rsidRPr="005E7E2A">
        <w:rPr>
          <w:rFonts w:ascii="Bell MT" w:hAnsi="Bell MT"/>
          <w:sz w:val="24"/>
        </w:rPr>
        <w:t xml:space="preserve"> Ram and Vivekananda. As an </w:t>
      </w:r>
      <w:proofErr w:type="spellStart"/>
      <w:r w:rsidRPr="005E7E2A">
        <w:rPr>
          <w:rFonts w:ascii="Bell MT" w:hAnsi="Bell MT"/>
          <w:sz w:val="24"/>
        </w:rPr>
        <w:t>indigenist</w:t>
      </w:r>
      <w:proofErr w:type="spellEnd"/>
      <w:r w:rsidRPr="005E7E2A">
        <w:rPr>
          <w:rFonts w:ascii="Bell MT" w:hAnsi="Bell MT"/>
          <w:sz w:val="24"/>
        </w:rPr>
        <w:t xml:space="preserve"> category, the ashram could claim to be an authentic civilizational signifier whose forms were not yet colonised, and through which, new Indian subjects could be made.  </w:t>
      </w:r>
      <w:r w:rsidRPr="00412501">
        <w:rPr>
          <w:rFonts w:ascii="Bell MT" w:hAnsi="Bell MT"/>
          <w:sz w:val="24"/>
        </w:rPr>
        <w:t>The denial of meat and sex in the</w:t>
      </w:r>
      <w:r w:rsidRPr="005E7E2A">
        <w:rPr>
          <w:rFonts w:ascii="Bell MT" w:hAnsi="Bell MT"/>
          <w:sz w:val="24"/>
        </w:rPr>
        <w:t xml:space="preserve"> ashram</w:t>
      </w:r>
      <w:r>
        <w:rPr>
          <w:rFonts w:ascii="Bell MT" w:hAnsi="Bell MT"/>
          <w:sz w:val="24"/>
        </w:rPr>
        <w:t>s</w:t>
      </w:r>
      <w:r w:rsidR="00412501">
        <w:rPr>
          <w:rFonts w:ascii="Bell MT" w:hAnsi="Bell MT"/>
          <w:sz w:val="24"/>
        </w:rPr>
        <w:t xml:space="preserve"> came to represent everyday practices of self-</w:t>
      </w:r>
      <w:r w:rsidRPr="005E7E2A">
        <w:rPr>
          <w:rFonts w:ascii="Bell MT" w:hAnsi="Bell MT"/>
          <w:sz w:val="24"/>
        </w:rPr>
        <w:t>control over appetite and urges</w:t>
      </w:r>
      <w:r w:rsidR="002A0956">
        <w:rPr>
          <w:rFonts w:ascii="Bell MT" w:hAnsi="Bell MT"/>
          <w:sz w:val="24"/>
        </w:rPr>
        <w:t>.</w:t>
      </w:r>
      <w:r w:rsidR="002A0956" w:rsidRPr="002A0956">
        <w:rPr>
          <w:rFonts w:ascii="Bell MT" w:hAnsi="Bell MT"/>
          <w:sz w:val="24"/>
        </w:rPr>
        <w:t xml:space="preserve"> </w:t>
      </w:r>
      <w:proofErr w:type="spellStart"/>
      <w:r w:rsidR="002A0956" w:rsidRPr="005E7E2A">
        <w:rPr>
          <w:rFonts w:ascii="Bell MT" w:hAnsi="Bell MT"/>
          <w:sz w:val="24"/>
        </w:rPr>
        <w:t>Rathindranath</w:t>
      </w:r>
      <w:proofErr w:type="spellEnd"/>
      <w:r w:rsidR="002A0956" w:rsidRPr="005E7E2A">
        <w:rPr>
          <w:rFonts w:ascii="Bell MT" w:hAnsi="Bell MT"/>
          <w:sz w:val="24"/>
        </w:rPr>
        <w:t xml:space="preserve">, Tagore’s son </w:t>
      </w:r>
      <w:r w:rsidR="00F20A23">
        <w:rPr>
          <w:rFonts w:ascii="Bell MT" w:hAnsi="Bell MT"/>
          <w:sz w:val="24"/>
        </w:rPr>
        <w:t>and early</w:t>
      </w:r>
      <w:r w:rsidR="002A0956">
        <w:rPr>
          <w:rFonts w:ascii="Bell MT" w:hAnsi="Bell MT"/>
          <w:sz w:val="24"/>
        </w:rPr>
        <w:t xml:space="preserve"> </w:t>
      </w:r>
      <w:r w:rsidR="002A0956" w:rsidRPr="005E7E2A">
        <w:rPr>
          <w:rFonts w:ascii="Bell MT" w:hAnsi="Bell MT"/>
          <w:sz w:val="24"/>
        </w:rPr>
        <w:t xml:space="preserve">student of his </w:t>
      </w:r>
      <w:proofErr w:type="spellStart"/>
      <w:r w:rsidR="002A0956">
        <w:rPr>
          <w:rFonts w:ascii="Bell MT" w:hAnsi="Bell MT"/>
          <w:sz w:val="24"/>
        </w:rPr>
        <w:t>Shantiniketan</w:t>
      </w:r>
      <w:proofErr w:type="spellEnd"/>
      <w:r w:rsidR="002A0956">
        <w:rPr>
          <w:rFonts w:ascii="Bell MT" w:hAnsi="Bell MT"/>
          <w:sz w:val="24"/>
        </w:rPr>
        <w:t xml:space="preserve"> </w:t>
      </w:r>
      <w:r w:rsidR="002A0956" w:rsidRPr="005E7E2A">
        <w:rPr>
          <w:rFonts w:ascii="Bell MT" w:hAnsi="Bell MT"/>
          <w:sz w:val="24"/>
        </w:rPr>
        <w:t xml:space="preserve">ashram </w:t>
      </w:r>
      <w:r w:rsidR="00F20A23">
        <w:rPr>
          <w:rFonts w:ascii="Bell MT" w:hAnsi="Bell MT"/>
          <w:sz w:val="24"/>
        </w:rPr>
        <w:t>attests</w:t>
      </w:r>
      <w:r w:rsidR="002A0956" w:rsidRPr="005E7E2A">
        <w:rPr>
          <w:rFonts w:ascii="Bell MT" w:hAnsi="Bell MT"/>
          <w:sz w:val="24"/>
        </w:rPr>
        <w:t xml:space="preserve"> that their life was </w:t>
      </w:r>
    </w:p>
    <w:p w:rsidR="002A0956" w:rsidRPr="005E7E2A" w:rsidRDefault="002A0956" w:rsidP="002A0956">
      <w:pPr>
        <w:spacing w:line="360" w:lineRule="auto"/>
        <w:ind w:left="567" w:right="521"/>
        <w:rPr>
          <w:rFonts w:ascii="Bell MT" w:hAnsi="Bell MT"/>
        </w:rPr>
      </w:pPr>
      <w:r w:rsidRPr="005E7E2A">
        <w:rPr>
          <w:rFonts w:ascii="Bell MT" w:hAnsi="Bell MT"/>
        </w:rPr>
        <w:t xml:space="preserve">Not only simple but austere. The ideal of </w:t>
      </w:r>
      <w:proofErr w:type="spellStart"/>
      <w:r w:rsidRPr="005E7E2A">
        <w:rPr>
          <w:rFonts w:ascii="Bell MT" w:hAnsi="Bell MT"/>
        </w:rPr>
        <w:t>Brahmacharya</w:t>
      </w:r>
      <w:proofErr w:type="spellEnd"/>
      <w:r w:rsidRPr="005E7E2A">
        <w:rPr>
          <w:rFonts w:ascii="Bell MT" w:hAnsi="Bell MT"/>
        </w:rPr>
        <w:t xml:space="preserve"> was the keynote of everything. The yellow uniform, which covered up the poverty of clothes… the vegetarian meals comparable to jail diet in their dull monotony – these were the standards laid down. Nobody wore shoes or even sandals and such luxuries as toothpaste or hair oil were taboo.</w:t>
      </w:r>
      <w:r w:rsidRPr="005E7E2A">
        <w:rPr>
          <w:rFonts w:ascii="Bell MT" w:hAnsi="Bell MT"/>
          <w:vertAlign w:val="superscript"/>
        </w:rPr>
        <w:footnoteReference w:id="20"/>
      </w:r>
    </w:p>
    <w:p w:rsidR="005F2CB8" w:rsidRPr="005E7E2A" w:rsidRDefault="007467D0" w:rsidP="007467D0">
      <w:pPr>
        <w:spacing w:line="360" w:lineRule="auto"/>
        <w:ind w:right="95"/>
        <w:rPr>
          <w:rFonts w:ascii="Bell MT" w:hAnsi="Bell MT"/>
        </w:rPr>
      </w:pPr>
      <w:r>
        <w:rPr>
          <w:rFonts w:ascii="Bell MT" w:hAnsi="Bell MT"/>
          <w:sz w:val="24"/>
        </w:rPr>
        <w:t>As materialism came to be increasingly associated as a sign of Western decadence and its materialist culture in late 19</w:t>
      </w:r>
      <w:r w:rsidRPr="006A27B8">
        <w:rPr>
          <w:rFonts w:ascii="Bell MT" w:hAnsi="Bell MT"/>
          <w:sz w:val="24"/>
          <w:vertAlign w:val="superscript"/>
        </w:rPr>
        <w:t>th</w:t>
      </w:r>
      <w:r>
        <w:rPr>
          <w:rFonts w:ascii="Bell MT" w:hAnsi="Bell MT"/>
          <w:sz w:val="24"/>
        </w:rPr>
        <w:t xml:space="preserve"> century India, the emphasis on austerity, control and abstinence came to stand as anti-colonial idioms to revitalise Indian spirituality.  Sabarmati and </w:t>
      </w:r>
      <w:proofErr w:type="spellStart"/>
      <w:r>
        <w:rPr>
          <w:rFonts w:ascii="Bell MT" w:hAnsi="Bell MT"/>
          <w:sz w:val="24"/>
        </w:rPr>
        <w:t>Shantiniketan</w:t>
      </w:r>
      <w:proofErr w:type="spellEnd"/>
      <w:r>
        <w:rPr>
          <w:rFonts w:ascii="Bell MT" w:hAnsi="Bell MT"/>
          <w:sz w:val="24"/>
        </w:rPr>
        <w:t xml:space="preserve"> ashrams represented their founders’ utopian enchantment for such non/anti-modern spaces, romanticised visions of a lost world around an ancient form that could recover India’s spiritual greatness. The</w:t>
      </w:r>
      <w:r w:rsidRPr="004F647B">
        <w:rPr>
          <w:rFonts w:ascii="Bell MT" w:hAnsi="Bell MT"/>
          <w:sz w:val="24"/>
        </w:rPr>
        <w:t xml:space="preserve"> forest </w:t>
      </w:r>
      <w:r>
        <w:rPr>
          <w:rFonts w:ascii="Bell MT" w:hAnsi="Bell MT"/>
          <w:sz w:val="24"/>
        </w:rPr>
        <w:t xml:space="preserve">had come to inspire both Tagore and Gandhi in their quests for non-modern utopian worlds. Simulations of the forest came to represent a constitutive trope as possible </w:t>
      </w:r>
      <w:r w:rsidRPr="004F647B">
        <w:rPr>
          <w:rFonts w:ascii="Bell MT" w:hAnsi="Bell MT"/>
          <w:sz w:val="24"/>
        </w:rPr>
        <w:t>habitation</w:t>
      </w:r>
      <w:r>
        <w:rPr>
          <w:rFonts w:ascii="Bell MT" w:hAnsi="Bell MT"/>
          <w:sz w:val="24"/>
        </w:rPr>
        <w:t>s</w:t>
      </w:r>
      <w:r w:rsidRPr="004F647B">
        <w:rPr>
          <w:rFonts w:ascii="Bell MT" w:hAnsi="Bell MT"/>
          <w:sz w:val="24"/>
        </w:rPr>
        <w:t xml:space="preserve"> of </w:t>
      </w:r>
      <w:r>
        <w:rPr>
          <w:rFonts w:ascii="Bell MT" w:hAnsi="Bell MT"/>
          <w:sz w:val="24"/>
        </w:rPr>
        <w:t xml:space="preserve">alternative </w:t>
      </w:r>
      <w:proofErr w:type="spellStart"/>
      <w:r>
        <w:rPr>
          <w:rFonts w:ascii="Bell MT" w:hAnsi="Bell MT"/>
          <w:sz w:val="24"/>
        </w:rPr>
        <w:t>modernities</w:t>
      </w:r>
      <w:proofErr w:type="spellEnd"/>
      <w:r>
        <w:rPr>
          <w:rFonts w:ascii="Bell MT" w:hAnsi="Bell MT"/>
          <w:sz w:val="24"/>
        </w:rPr>
        <w:t xml:space="preserve">, seen across the ashram experiments of </w:t>
      </w:r>
      <w:r w:rsidR="006766E1">
        <w:rPr>
          <w:rFonts w:ascii="Bell MT" w:hAnsi="Bell MT"/>
          <w:sz w:val="24"/>
        </w:rPr>
        <w:t>not only Tagore and Gandhi but other prominent figures such as</w:t>
      </w:r>
      <w:r>
        <w:rPr>
          <w:rFonts w:ascii="Bell MT" w:hAnsi="Bell MT"/>
          <w:sz w:val="24"/>
        </w:rPr>
        <w:t xml:space="preserve"> </w:t>
      </w:r>
      <w:proofErr w:type="spellStart"/>
      <w:r>
        <w:rPr>
          <w:rFonts w:ascii="Bell MT" w:hAnsi="Bell MT"/>
          <w:sz w:val="24"/>
        </w:rPr>
        <w:t>Munshi</w:t>
      </w:r>
      <w:proofErr w:type="spellEnd"/>
      <w:r>
        <w:rPr>
          <w:rFonts w:ascii="Bell MT" w:hAnsi="Bell MT"/>
          <w:sz w:val="24"/>
        </w:rPr>
        <w:t xml:space="preserve"> Ram and Vivekananda</w:t>
      </w:r>
      <w:r w:rsidR="006766E1">
        <w:rPr>
          <w:rFonts w:ascii="Bell MT" w:hAnsi="Bell MT"/>
          <w:sz w:val="24"/>
        </w:rPr>
        <w:t>, a history that should be read in tandem with commune experiments such as Robert Owen’s Lanark Farm in Scotland in the context of modern industrialisation</w:t>
      </w:r>
      <w:r>
        <w:rPr>
          <w:rFonts w:ascii="Bell MT" w:hAnsi="Bell MT"/>
          <w:sz w:val="24"/>
        </w:rPr>
        <w:t>.</w:t>
      </w:r>
    </w:p>
    <w:p w:rsidR="00AA0C5A" w:rsidRDefault="002A0956" w:rsidP="00AA0C5A">
      <w:pPr>
        <w:spacing w:line="360" w:lineRule="auto"/>
        <w:rPr>
          <w:rFonts w:ascii="Bell MT" w:hAnsi="Bell MT"/>
          <w:sz w:val="24"/>
        </w:rPr>
      </w:pPr>
      <w:r>
        <w:rPr>
          <w:rFonts w:ascii="Bell MT" w:hAnsi="Bell MT"/>
          <w:sz w:val="24"/>
        </w:rPr>
        <w:t>Tagore and Gandhi’s</w:t>
      </w:r>
      <w:r w:rsidR="005E7E2A" w:rsidRPr="005E7E2A">
        <w:rPr>
          <w:rFonts w:ascii="Bell MT" w:hAnsi="Bell MT"/>
          <w:sz w:val="24"/>
        </w:rPr>
        <w:t xml:space="preserve"> ashrams represented their founders’ utopian enchantment for such non/anti-modern spaces, romanticised visions of a lost world around an ancient form that could recover India’s </w:t>
      </w:r>
      <w:r>
        <w:rPr>
          <w:rFonts w:ascii="Bell MT" w:hAnsi="Bell MT"/>
          <w:sz w:val="24"/>
        </w:rPr>
        <w:t>national</w:t>
      </w:r>
      <w:r w:rsidR="005E7E2A" w:rsidRPr="005E7E2A">
        <w:rPr>
          <w:rFonts w:ascii="Bell MT" w:hAnsi="Bell MT"/>
          <w:sz w:val="24"/>
        </w:rPr>
        <w:t xml:space="preserve"> greatness</w:t>
      </w:r>
      <w:r>
        <w:rPr>
          <w:rFonts w:ascii="Bell MT" w:hAnsi="Bell MT"/>
          <w:sz w:val="24"/>
        </w:rPr>
        <w:t xml:space="preserve"> which was always already spiritual</w:t>
      </w:r>
      <w:r w:rsidR="005E7E2A" w:rsidRPr="005E7E2A">
        <w:rPr>
          <w:rFonts w:ascii="Bell MT" w:hAnsi="Bell MT"/>
          <w:sz w:val="24"/>
        </w:rPr>
        <w:t>. British followers</w:t>
      </w:r>
      <w:r w:rsidR="00110866">
        <w:rPr>
          <w:rFonts w:ascii="Bell MT" w:hAnsi="Bell MT"/>
          <w:sz w:val="24"/>
        </w:rPr>
        <w:t xml:space="preserve"> (whom I refer to as </w:t>
      </w:r>
      <w:proofErr w:type="spellStart"/>
      <w:r w:rsidR="00110866">
        <w:rPr>
          <w:rFonts w:ascii="Bell MT" w:hAnsi="Bell MT"/>
          <w:sz w:val="24"/>
        </w:rPr>
        <w:t>Indophiles</w:t>
      </w:r>
      <w:proofErr w:type="spellEnd"/>
      <w:r w:rsidR="00110866">
        <w:rPr>
          <w:rFonts w:ascii="Bell MT" w:hAnsi="Bell MT"/>
          <w:sz w:val="24"/>
        </w:rPr>
        <w:t>/India-lovers)</w:t>
      </w:r>
      <w:r w:rsidR="005E7E2A" w:rsidRPr="005E7E2A">
        <w:rPr>
          <w:rFonts w:ascii="Bell MT" w:hAnsi="Bell MT"/>
          <w:sz w:val="24"/>
        </w:rPr>
        <w:t xml:space="preserve"> of Gandhi and Tagore found in such enchanted spaces a resonance of their own dissatisfactions with industrial modernity.  </w:t>
      </w:r>
      <w:r w:rsidR="00412501">
        <w:rPr>
          <w:rFonts w:ascii="Bell MT" w:hAnsi="Bell MT"/>
          <w:sz w:val="24"/>
        </w:rPr>
        <w:t>I borrow the term ‘</w:t>
      </w:r>
      <w:r w:rsidR="00412501" w:rsidRPr="005E7E2A">
        <w:rPr>
          <w:rFonts w:ascii="Bell MT" w:hAnsi="Bell MT"/>
          <w:sz w:val="24"/>
        </w:rPr>
        <w:t>emotional communities</w:t>
      </w:r>
      <w:r w:rsidR="00412501">
        <w:rPr>
          <w:rFonts w:ascii="Bell MT" w:hAnsi="Bell MT"/>
          <w:sz w:val="24"/>
        </w:rPr>
        <w:t>’</w:t>
      </w:r>
      <w:r w:rsidR="00412501" w:rsidRPr="005E7E2A">
        <w:rPr>
          <w:rFonts w:ascii="Bell MT" w:hAnsi="Bell MT"/>
          <w:sz w:val="24"/>
        </w:rPr>
        <w:t xml:space="preserve"> </w:t>
      </w:r>
      <w:r w:rsidR="00412501">
        <w:rPr>
          <w:rFonts w:ascii="Bell MT" w:hAnsi="Bell MT"/>
          <w:sz w:val="24"/>
        </w:rPr>
        <w:t xml:space="preserve">from </w:t>
      </w:r>
      <w:r w:rsidR="005E7E2A" w:rsidRPr="005E7E2A">
        <w:rPr>
          <w:rFonts w:ascii="Bell MT" w:hAnsi="Bell MT"/>
          <w:sz w:val="24"/>
        </w:rPr>
        <w:t>historian Barbara Rosenwein</w:t>
      </w:r>
      <w:r w:rsidR="005E7E2A" w:rsidRPr="005E7E2A">
        <w:rPr>
          <w:rFonts w:ascii="Bell MT" w:hAnsi="Bell MT"/>
          <w:sz w:val="24"/>
          <w:vertAlign w:val="superscript"/>
        </w:rPr>
        <w:footnoteReference w:id="21"/>
      </w:r>
      <w:r w:rsidR="005E7E2A" w:rsidRPr="005E7E2A">
        <w:rPr>
          <w:rFonts w:ascii="Bell MT" w:hAnsi="Bell MT"/>
          <w:sz w:val="24"/>
        </w:rPr>
        <w:t xml:space="preserve"> </w:t>
      </w:r>
      <w:r w:rsidR="00412501">
        <w:rPr>
          <w:rFonts w:ascii="Bell MT" w:hAnsi="Bell MT"/>
          <w:sz w:val="24"/>
        </w:rPr>
        <w:t>to refer to</w:t>
      </w:r>
      <w:r w:rsidR="005E7E2A" w:rsidRPr="005E7E2A">
        <w:rPr>
          <w:rFonts w:ascii="Bell MT" w:hAnsi="Bell MT"/>
          <w:sz w:val="24"/>
        </w:rPr>
        <w:t xml:space="preserve"> ashrams </w:t>
      </w:r>
      <w:r w:rsidR="00412501">
        <w:rPr>
          <w:rFonts w:ascii="Bell MT" w:hAnsi="Bell MT"/>
          <w:sz w:val="24"/>
        </w:rPr>
        <w:t xml:space="preserve">but </w:t>
      </w:r>
      <w:r w:rsidR="005E7E2A" w:rsidRPr="005E7E2A">
        <w:rPr>
          <w:rFonts w:ascii="Bell MT" w:hAnsi="Bell MT"/>
          <w:sz w:val="24"/>
        </w:rPr>
        <w:t xml:space="preserve">with a different thrust. If ashrams constituted an emotional community, in what ways did British disciples relate to such a community?  More importantly, the complex </w:t>
      </w:r>
      <w:r w:rsidR="005E7E2A" w:rsidRPr="005E7E2A">
        <w:rPr>
          <w:rFonts w:ascii="Bell MT" w:hAnsi="Bell MT"/>
          <w:sz w:val="24"/>
        </w:rPr>
        <w:lastRenderedPageBreak/>
        <w:t>emotional responses in trying to relate to the ashrams of their gurus produced a range of practices and performances of excess</w:t>
      </w:r>
      <w:r w:rsidR="00412501">
        <w:rPr>
          <w:rFonts w:ascii="Bell MT" w:hAnsi="Bell MT"/>
          <w:sz w:val="24"/>
        </w:rPr>
        <w:t xml:space="preserve"> in which </w:t>
      </w:r>
      <w:r w:rsidR="00110866">
        <w:rPr>
          <w:rFonts w:ascii="Bell MT" w:hAnsi="Bell MT"/>
          <w:sz w:val="24"/>
        </w:rPr>
        <w:t xml:space="preserve">British </w:t>
      </w:r>
      <w:proofErr w:type="spellStart"/>
      <w:r w:rsidR="00412501">
        <w:rPr>
          <w:rFonts w:ascii="Bell MT" w:hAnsi="Bell MT"/>
          <w:sz w:val="24"/>
        </w:rPr>
        <w:t>Indophile</w:t>
      </w:r>
      <w:proofErr w:type="spellEnd"/>
      <w:r w:rsidR="00412501">
        <w:rPr>
          <w:rFonts w:ascii="Bell MT" w:hAnsi="Bell MT"/>
          <w:sz w:val="24"/>
        </w:rPr>
        <w:t xml:space="preserve"> </w:t>
      </w:r>
      <w:r w:rsidR="00110866">
        <w:rPr>
          <w:rFonts w:ascii="Bell MT" w:hAnsi="Bell MT"/>
          <w:sz w:val="24"/>
        </w:rPr>
        <w:t>subjects</w:t>
      </w:r>
      <w:r w:rsidR="00412501">
        <w:rPr>
          <w:rFonts w:ascii="Bell MT" w:hAnsi="Bell MT"/>
          <w:sz w:val="24"/>
        </w:rPr>
        <w:t xml:space="preserve"> came to be caught </w:t>
      </w:r>
      <w:r w:rsidR="005E7E2A" w:rsidRPr="005E7E2A">
        <w:rPr>
          <w:rFonts w:ascii="Bell MT" w:hAnsi="Bell MT"/>
          <w:sz w:val="24"/>
        </w:rPr>
        <w:t xml:space="preserve">in perpetual flux. </w:t>
      </w:r>
    </w:p>
    <w:p w:rsidR="00412501" w:rsidRPr="005E7E2A" w:rsidRDefault="00AA0C5A" w:rsidP="00110866">
      <w:pPr>
        <w:spacing w:line="360" w:lineRule="auto"/>
        <w:rPr>
          <w:rFonts w:ascii="Bell MT" w:hAnsi="Bell MT"/>
          <w:sz w:val="24"/>
        </w:rPr>
      </w:pPr>
      <w:r>
        <w:rPr>
          <w:rFonts w:ascii="Bell MT" w:hAnsi="Bell MT"/>
          <w:sz w:val="24"/>
        </w:rPr>
        <w:t xml:space="preserve">The subsequent sections </w:t>
      </w:r>
      <w:r w:rsidR="006766E1">
        <w:rPr>
          <w:rFonts w:ascii="Bell MT" w:hAnsi="Bell MT"/>
          <w:sz w:val="24"/>
        </w:rPr>
        <w:t xml:space="preserve">will </w:t>
      </w:r>
      <w:r>
        <w:rPr>
          <w:rFonts w:ascii="Bell MT" w:hAnsi="Bell MT"/>
          <w:sz w:val="24"/>
        </w:rPr>
        <w:t>focus largely on the experiences of two of their</w:t>
      </w:r>
      <w:r w:rsidR="002C1467">
        <w:rPr>
          <w:rFonts w:ascii="Bell MT" w:hAnsi="Bell MT"/>
          <w:sz w:val="24"/>
        </w:rPr>
        <w:t xml:space="preserve"> British</w:t>
      </w:r>
      <w:r>
        <w:rPr>
          <w:rFonts w:ascii="Bell MT" w:hAnsi="Bell MT"/>
          <w:sz w:val="24"/>
        </w:rPr>
        <w:t xml:space="preserve"> disciples - C.F. Andrews, William Pearson in and around these ashrams of – and what entering these aspirational worlds meant for them (as also for the ashrams). </w:t>
      </w:r>
      <w:r w:rsidRPr="005E7E2A">
        <w:rPr>
          <w:rFonts w:ascii="Bell MT" w:hAnsi="Bell MT"/>
          <w:sz w:val="24"/>
        </w:rPr>
        <w:t xml:space="preserve">Ashrams became a sacred locus for these disciples, through which their mentors lives and work could be felt, and to invest in its everyday habits was to merge oneself in this wider community of believers. </w:t>
      </w:r>
    </w:p>
    <w:sectPr w:rsidR="00412501" w:rsidRPr="005E7E2A">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6C04" w:rsidRDefault="00B96C04" w:rsidP="00B96C04">
      <w:pPr>
        <w:spacing w:after="0" w:line="240" w:lineRule="auto"/>
      </w:pPr>
      <w:r>
        <w:separator/>
      </w:r>
    </w:p>
  </w:endnote>
  <w:endnote w:type="continuationSeparator" w:id="0">
    <w:p w:rsidR="00B96C04" w:rsidRDefault="00B96C04" w:rsidP="00B96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ell MT">
    <w:panose1 w:val="02020503060305020303"/>
    <w:charset w:val="00"/>
    <w:family w:val="roman"/>
    <w:pitch w:val="variable"/>
    <w:sig w:usb0="00000003" w:usb1="00000000" w:usb2="00000000" w:usb3="00000000" w:csb0="0000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2386805"/>
      <w:docPartObj>
        <w:docPartGallery w:val="Page Numbers (Bottom of Page)"/>
        <w:docPartUnique/>
      </w:docPartObj>
    </w:sdtPr>
    <w:sdtEndPr>
      <w:rPr>
        <w:noProof/>
      </w:rPr>
    </w:sdtEndPr>
    <w:sdtContent>
      <w:p w:rsidR="00412501" w:rsidRDefault="00412501">
        <w:pPr>
          <w:pStyle w:val="Footer"/>
          <w:jc w:val="right"/>
        </w:pPr>
        <w:r>
          <w:fldChar w:fldCharType="begin"/>
        </w:r>
        <w:r>
          <w:instrText xml:space="preserve"> PAGE   \* MERGEFORMAT </w:instrText>
        </w:r>
        <w:r>
          <w:fldChar w:fldCharType="separate"/>
        </w:r>
        <w:r w:rsidR="002C1467">
          <w:rPr>
            <w:noProof/>
          </w:rPr>
          <w:t>1</w:t>
        </w:r>
        <w:r>
          <w:rPr>
            <w:noProof/>
          </w:rPr>
          <w:fldChar w:fldCharType="end"/>
        </w:r>
      </w:p>
    </w:sdtContent>
  </w:sdt>
  <w:p w:rsidR="00412501" w:rsidRDefault="004125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6C04" w:rsidRDefault="00B96C04" w:rsidP="00B96C04">
      <w:pPr>
        <w:spacing w:after="0" w:line="240" w:lineRule="auto"/>
      </w:pPr>
      <w:r>
        <w:separator/>
      </w:r>
    </w:p>
  </w:footnote>
  <w:footnote w:type="continuationSeparator" w:id="0">
    <w:p w:rsidR="00B96C04" w:rsidRDefault="00B96C04" w:rsidP="00B96C04">
      <w:pPr>
        <w:spacing w:after="0" w:line="240" w:lineRule="auto"/>
      </w:pPr>
      <w:r>
        <w:continuationSeparator/>
      </w:r>
    </w:p>
  </w:footnote>
  <w:footnote w:id="1">
    <w:p w:rsidR="00110866" w:rsidRDefault="00110866" w:rsidP="00110866">
      <w:pPr>
        <w:pStyle w:val="FootnoteText"/>
      </w:pPr>
      <w:r>
        <w:rPr>
          <w:rStyle w:val="FootnoteReference"/>
        </w:rPr>
        <w:footnoteRef/>
      </w:r>
      <w:r>
        <w:t xml:space="preserve"> The Vedic period broadly refers to the time between 1500-500 BCE, in which the earliest Sanskrit scriptures were composed in India. Popular Hindu imagination regards the Vedic period as a golden age for India.  </w:t>
      </w:r>
    </w:p>
  </w:footnote>
  <w:footnote w:id="2">
    <w:p w:rsidR="007044EA" w:rsidRPr="004467F9" w:rsidRDefault="007044EA" w:rsidP="007044EA">
      <w:pPr>
        <w:pStyle w:val="FootnoteText"/>
        <w:spacing w:line="276" w:lineRule="auto"/>
      </w:pPr>
      <w:r w:rsidRPr="004467F9">
        <w:rPr>
          <w:rStyle w:val="FootnoteReference"/>
        </w:rPr>
        <w:footnoteRef/>
      </w:r>
      <w:r w:rsidRPr="004467F9">
        <w:t xml:space="preserve"> </w:t>
      </w:r>
      <w:proofErr w:type="spellStart"/>
      <w:r w:rsidRPr="004467F9">
        <w:t>Skaria</w:t>
      </w:r>
      <w:proofErr w:type="spellEnd"/>
      <w:r w:rsidRPr="004467F9">
        <w:t>, Enchantments of Modernity, P 199</w:t>
      </w:r>
    </w:p>
  </w:footnote>
  <w:footnote w:id="3">
    <w:p w:rsidR="00B96C04" w:rsidRPr="004467F9" w:rsidRDefault="00B96C04" w:rsidP="00B96C04">
      <w:pPr>
        <w:pStyle w:val="FootnoteText"/>
        <w:spacing w:line="276" w:lineRule="auto"/>
      </w:pPr>
      <w:r w:rsidRPr="004467F9">
        <w:rPr>
          <w:rStyle w:val="FootnoteReference"/>
        </w:rPr>
        <w:footnoteRef/>
      </w:r>
      <w:r w:rsidRPr="004467F9">
        <w:t xml:space="preserve"> </w:t>
      </w:r>
      <w:proofErr w:type="spellStart"/>
      <w:r w:rsidRPr="004467F9">
        <w:t>Skaria</w:t>
      </w:r>
      <w:proofErr w:type="spellEnd"/>
      <w:r w:rsidRPr="004467F9">
        <w:t>, p 207</w:t>
      </w:r>
    </w:p>
  </w:footnote>
  <w:footnote w:id="4">
    <w:p w:rsidR="00F12471" w:rsidRPr="004467F9" w:rsidRDefault="00F12471" w:rsidP="00F12471">
      <w:pPr>
        <w:pStyle w:val="FootnoteText"/>
        <w:spacing w:line="276" w:lineRule="auto"/>
      </w:pPr>
      <w:r w:rsidRPr="004467F9">
        <w:rPr>
          <w:rStyle w:val="FootnoteReference"/>
        </w:rPr>
        <w:footnoteRef/>
      </w:r>
      <w:r w:rsidRPr="004467F9">
        <w:t xml:space="preserve"> </w:t>
      </w:r>
      <w:proofErr w:type="spellStart"/>
      <w:r w:rsidRPr="004467F9">
        <w:t>Dube</w:t>
      </w:r>
      <w:proofErr w:type="spellEnd"/>
      <w:r w:rsidRPr="004467F9">
        <w:t>, Enchantments, Intro, p 1</w:t>
      </w:r>
    </w:p>
  </w:footnote>
  <w:footnote w:id="5">
    <w:p w:rsidR="00F12471" w:rsidRPr="004467F9" w:rsidRDefault="00F12471" w:rsidP="00F12471">
      <w:pPr>
        <w:pStyle w:val="FootnoteText"/>
        <w:spacing w:line="276" w:lineRule="auto"/>
      </w:pPr>
      <w:r w:rsidRPr="004467F9">
        <w:rPr>
          <w:rStyle w:val="FootnoteReference"/>
        </w:rPr>
        <w:footnoteRef/>
      </w:r>
      <w:r w:rsidRPr="004467F9">
        <w:t xml:space="preserve"> Ibid, pp 6-7</w:t>
      </w:r>
    </w:p>
  </w:footnote>
  <w:footnote w:id="6">
    <w:p w:rsidR="005D0572" w:rsidRPr="004467F9" w:rsidRDefault="005D0572" w:rsidP="005D0572">
      <w:pPr>
        <w:pStyle w:val="FootnoteText"/>
        <w:spacing w:line="276" w:lineRule="auto"/>
      </w:pPr>
      <w:r w:rsidRPr="004467F9">
        <w:rPr>
          <w:rStyle w:val="FootnoteReference"/>
        </w:rPr>
        <w:footnoteRef/>
      </w:r>
      <w:r w:rsidRPr="004467F9">
        <w:t xml:space="preserve"> See </w:t>
      </w:r>
      <w:proofErr w:type="spellStart"/>
      <w:r w:rsidRPr="004467F9">
        <w:t>Ashis</w:t>
      </w:r>
      <w:proofErr w:type="spellEnd"/>
      <w:r w:rsidRPr="004467F9">
        <w:t xml:space="preserve"> </w:t>
      </w:r>
      <w:proofErr w:type="spellStart"/>
      <w:r w:rsidRPr="004467F9">
        <w:t>Nandy</w:t>
      </w:r>
      <w:proofErr w:type="spellEnd"/>
      <w:r w:rsidRPr="004467F9">
        <w:t xml:space="preserve">, </w:t>
      </w:r>
      <w:r w:rsidRPr="004467F9">
        <w:rPr>
          <w:i/>
        </w:rPr>
        <w:t>Traditions, Tyrannies and Utopias</w:t>
      </w:r>
      <w:r w:rsidRPr="004467F9">
        <w:t xml:space="preserve"> for this. </w:t>
      </w:r>
      <w:proofErr w:type="spellStart"/>
      <w:r w:rsidRPr="004467F9">
        <w:t>Nandy</w:t>
      </w:r>
      <w:proofErr w:type="spellEnd"/>
      <w:r w:rsidRPr="004467F9">
        <w:t xml:space="preserve"> explains how Gandhi was against </w:t>
      </w:r>
      <w:proofErr w:type="spellStart"/>
      <w:r w:rsidRPr="004467F9">
        <w:t>bothtechnicism</w:t>
      </w:r>
      <w:proofErr w:type="spellEnd"/>
      <w:r w:rsidRPr="004467F9">
        <w:t xml:space="preserve"> and technocracy – the hierarchy between those who possess modern technology and those who don’t and how this inequality becomes a logic of power, pp 136-137.</w:t>
      </w:r>
    </w:p>
  </w:footnote>
  <w:footnote w:id="7">
    <w:p w:rsidR="00685F1B" w:rsidRPr="004467F9" w:rsidRDefault="00685F1B" w:rsidP="00685F1B">
      <w:pPr>
        <w:pStyle w:val="FootnoteText"/>
        <w:spacing w:line="276" w:lineRule="auto"/>
      </w:pPr>
      <w:r w:rsidRPr="004467F9">
        <w:rPr>
          <w:rStyle w:val="FootnoteReference"/>
        </w:rPr>
        <w:footnoteRef/>
      </w:r>
      <w:r w:rsidRPr="004467F9">
        <w:t xml:space="preserve"> Rabindranath Tagore, ‘The Problem of Education’, Towards Universal Man, 1906, in Uma </w:t>
      </w:r>
      <w:proofErr w:type="spellStart"/>
      <w:r w:rsidRPr="004467F9">
        <w:t>Dasgupta</w:t>
      </w:r>
      <w:proofErr w:type="spellEnd"/>
      <w:r w:rsidRPr="004467F9">
        <w:t xml:space="preserve">, ed., </w:t>
      </w:r>
      <w:r w:rsidRPr="004467F9">
        <w:rPr>
          <w:i/>
        </w:rPr>
        <w:t xml:space="preserve">The Oxford India Tagore: Selected Writings on Education and Nationalism, </w:t>
      </w:r>
      <w:r w:rsidRPr="004467F9">
        <w:t>Delhi, 2009, p 112</w:t>
      </w:r>
    </w:p>
  </w:footnote>
  <w:footnote w:id="8">
    <w:p w:rsidR="001829D1" w:rsidRPr="004467F9" w:rsidRDefault="001829D1" w:rsidP="001829D1">
      <w:pPr>
        <w:pStyle w:val="FootnoteText"/>
        <w:spacing w:line="276" w:lineRule="auto"/>
      </w:pPr>
      <w:r w:rsidRPr="004467F9">
        <w:rPr>
          <w:rStyle w:val="FootnoteReference"/>
        </w:rPr>
        <w:footnoteRef/>
      </w:r>
      <w:r w:rsidRPr="004467F9">
        <w:t xml:space="preserve"> It was not until Gandhi’s visit to the </w:t>
      </w:r>
      <w:proofErr w:type="spellStart"/>
      <w:r w:rsidRPr="004467F9">
        <w:t>Shantiniketan</w:t>
      </w:r>
      <w:proofErr w:type="spellEnd"/>
      <w:r w:rsidRPr="004467F9">
        <w:t xml:space="preserve"> ashram that </w:t>
      </w:r>
      <w:proofErr w:type="spellStart"/>
      <w:r w:rsidRPr="004467F9">
        <w:t>intercaste</w:t>
      </w:r>
      <w:proofErr w:type="spellEnd"/>
      <w:r w:rsidRPr="004467F9">
        <w:t xml:space="preserve"> dining was allowed in 1. However, a Brahmin-line continued during meal hours for students who wanted it. For Tagore, forcing them to not follow caste practices amounted to an imposition from above. See Uma </w:t>
      </w:r>
      <w:proofErr w:type="spellStart"/>
      <w:r w:rsidRPr="004467F9">
        <w:t>Dasgupta</w:t>
      </w:r>
      <w:proofErr w:type="spellEnd"/>
      <w:r w:rsidRPr="004467F9">
        <w:t xml:space="preserve">, </w:t>
      </w:r>
      <w:r w:rsidRPr="004467F9">
        <w:rPr>
          <w:i/>
        </w:rPr>
        <w:t>Rabindranath Tagore: An Illustrated Life</w:t>
      </w:r>
      <w:r w:rsidRPr="004467F9">
        <w:t xml:space="preserve">, Delhi, 2013, p 69. </w:t>
      </w:r>
    </w:p>
  </w:footnote>
  <w:footnote w:id="9">
    <w:p w:rsidR="007467D0" w:rsidRPr="004467F9" w:rsidRDefault="007467D0" w:rsidP="007467D0">
      <w:pPr>
        <w:pStyle w:val="FootnoteText"/>
        <w:spacing w:line="276" w:lineRule="auto"/>
      </w:pPr>
      <w:r w:rsidRPr="004467F9">
        <w:rPr>
          <w:rStyle w:val="FootnoteReference"/>
        </w:rPr>
        <w:footnoteRef/>
      </w:r>
      <w:r w:rsidRPr="004467F9">
        <w:t xml:space="preserve"> </w:t>
      </w:r>
      <w:proofErr w:type="spellStart"/>
      <w:r w:rsidRPr="004467F9">
        <w:t>Rabindranth</w:t>
      </w:r>
      <w:proofErr w:type="spellEnd"/>
      <w:r w:rsidRPr="004467F9">
        <w:t xml:space="preserve"> Tagore,  </w:t>
      </w:r>
      <w:proofErr w:type="spellStart"/>
      <w:r w:rsidRPr="004467F9">
        <w:t>Tapovan</w:t>
      </w:r>
      <w:proofErr w:type="spellEnd"/>
      <w:r w:rsidRPr="004467F9">
        <w:t>, Tagore web, p 10</w:t>
      </w:r>
    </w:p>
  </w:footnote>
  <w:footnote w:id="10">
    <w:p w:rsidR="007467D0" w:rsidRPr="004467F9" w:rsidRDefault="007467D0" w:rsidP="007467D0">
      <w:pPr>
        <w:pStyle w:val="FootnoteText"/>
        <w:spacing w:line="276" w:lineRule="auto"/>
      </w:pPr>
      <w:r w:rsidRPr="004467F9">
        <w:rPr>
          <w:rStyle w:val="FootnoteReference"/>
        </w:rPr>
        <w:footnoteRef/>
      </w:r>
      <w:r w:rsidRPr="004467F9">
        <w:t xml:space="preserve"> Tagore, </w:t>
      </w:r>
      <w:proofErr w:type="spellStart"/>
      <w:r w:rsidRPr="004467F9">
        <w:t>Ashramer</w:t>
      </w:r>
      <w:proofErr w:type="spellEnd"/>
      <w:r w:rsidRPr="004467F9">
        <w:t xml:space="preserve"> </w:t>
      </w:r>
      <w:proofErr w:type="spellStart"/>
      <w:r w:rsidRPr="004467F9">
        <w:t>Roop</w:t>
      </w:r>
      <w:proofErr w:type="spellEnd"/>
      <w:r w:rsidRPr="004467F9">
        <w:t xml:space="preserve"> o Bikash-1, </w:t>
      </w:r>
      <w:proofErr w:type="spellStart"/>
      <w:r w:rsidRPr="004467F9">
        <w:t>tagore</w:t>
      </w:r>
      <w:proofErr w:type="spellEnd"/>
      <w:r w:rsidRPr="004467F9">
        <w:t xml:space="preserve"> web, p 1</w:t>
      </w:r>
    </w:p>
  </w:footnote>
  <w:footnote w:id="11">
    <w:p w:rsidR="00F62B4F" w:rsidRPr="004467F9" w:rsidRDefault="00F62B4F" w:rsidP="00F62B4F">
      <w:pPr>
        <w:pStyle w:val="FootnoteText"/>
        <w:spacing w:line="276" w:lineRule="auto"/>
      </w:pPr>
      <w:r w:rsidRPr="004467F9">
        <w:rPr>
          <w:rStyle w:val="FootnoteReference"/>
        </w:rPr>
        <w:footnoteRef/>
      </w:r>
      <w:r w:rsidRPr="004467F9">
        <w:t xml:space="preserve"> </w:t>
      </w:r>
      <w:proofErr w:type="spellStart"/>
      <w:r w:rsidRPr="004467F9">
        <w:t>Rajarshi</w:t>
      </w:r>
      <w:proofErr w:type="spellEnd"/>
      <w:r w:rsidRPr="004467F9">
        <w:t xml:space="preserve"> </w:t>
      </w:r>
      <w:proofErr w:type="spellStart"/>
      <w:r w:rsidRPr="004467F9">
        <w:t>Chunder</w:t>
      </w:r>
      <w:proofErr w:type="spellEnd"/>
      <w:r w:rsidRPr="004467F9">
        <w:t xml:space="preserve">, Tagore and Caste: From </w:t>
      </w:r>
      <w:proofErr w:type="spellStart"/>
      <w:r w:rsidRPr="004467F9">
        <w:t>Brahmacharyasram</w:t>
      </w:r>
      <w:proofErr w:type="spellEnd"/>
      <w:r w:rsidRPr="004467F9">
        <w:t xml:space="preserve"> to Swadeshi Movement (1901–07), </w:t>
      </w:r>
      <w:hyperlink r:id="rId1" w:history="1">
        <w:r w:rsidRPr="004467F9">
          <w:rPr>
            <w:rStyle w:val="Hyperlink"/>
          </w:rPr>
          <w:t>https://www.sahapedia.org/tagore-and-caste-brahmacharyasram-swadeshi-movement-1901%E2%80%9307</w:t>
        </w:r>
      </w:hyperlink>
      <w:r w:rsidRPr="004467F9">
        <w:t xml:space="preserve"> . Though the ashram had three Christian teachers at the very beginning. </w:t>
      </w:r>
    </w:p>
  </w:footnote>
  <w:footnote w:id="12">
    <w:p w:rsidR="001829D1" w:rsidRPr="004467F9" w:rsidRDefault="001829D1" w:rsidP="001829D1">
      <w:pPr>
        <w:pStyle w:val="FootnoteText"/>
        <w:spacing w:line="276" w:lineRule="auto"/>
      </w:pPr>
      <w:r w:rsidRPr="004467F9">
        <w:rPr>
          <w:rStyle w:val="FootnoteReference"/>
        </w:rPr>
        <w:footnoteRef/>
      </w:r>
      <w:r w:rsidRPr="004467F9">
        <w:t xml:space="preserve"> Uma Das Gupta, In Pursuit of a Different Freedom: Tagore's world university at </w:t>
      </w:r>
      <w:proofErr w:type="spellStart"/>
      <w:r w:rsidRPr="004467F9">
        <w:t>Santiniketan</w:t>
      </w:r>
      <w:proofErr w:type="spellEnd"/>
    </w:p>
    <w:p w:rsidR="001829D1" w:rsidRPr="004467F9" w:rsidRDefault="001829D1" w:rsidP="001829D1">
      <w:pPr>
        <w:pStyle w:val="FootnoteText"/>
        <w:spacing w:line="276" w:lineRule="auto"/>
      </w:pPr>
      <w:r w:rsidRPr="004467F9">
        <w:t>India International Centre Quarterly, Vol. 29, No. 3/4, India: A National Culture? (WINTER 2002-SPRING 2003), pp 34-35</w:t>
      </w:r>
    </w:p>
  </w:footnote>
  <w:footnote w:id="13">
    <w:p w:rsidR="001829D1" w:rsidRPr="004467F9" w:rsidRDefault="001829D1" w:rsidP="001829D1">
      <w:pPr>
        <w:pStyle w:val="FootnoteText"/>
        <w:spacing w:line="276" w:lineRule="auto"/>
      </w:pPr>
      <w:r w:rsidRPr="004467F9">
        <w:rPr>
          <w:rStyle w:val="FootnoteReference"/>
        </w:rPr>
        <w:footnoteRef/>
      </w:r>
      <w:r w:rsidRPr="004467F9">
        <w:t xml:space="preserve"> </w:t>
      </w:r>
      <w:proofErr w:type="spellStart"/>
      <w:r w:rsidRPr="004467F9">
        <w:t>Skaria</w:t>
      </w:r>
      <w:proofErr w:type="spellEnd"/>
      <w:r w:rsidRPr="004467F9">
        <w:t>, op. cit., p 212</w:t>
      </w:r>
    </w:p>
  </w:footnote>
  <w:footnote w:id="14">
    <w:p w:rsidR="001829D1" w:rsidRPr="004467F9" w:rsidRDefault="001829D1" w:rsidP="001829D1">
      <w:pPr>
        <w:pStyle w:val="FootnoteText"/>
        <w:spacing w:line="276" w:lineRule="auto"/>
      </w:pPr>
      <w:r w:rsidRPr="004467F9">
        <w:rPr>
          <w:rStyle w:val="FootnoteReference"/>
        </w:rPr>
        <w:footnoteRef/>
      </w:r>
      <w:r w:rsidRPr="004467F9">
        <w:t xml:space="preserve"> Hence the ancient </w:t>
      </w:r>
      <w:proofErr w:type="spellStart"/>
      <w:r w:rsidRPr="004467F9">
        <w:t>tapovan</w:t>
      </w:r>
      <w:proofErr w:type="spellEnd"/>
      <w:r w:rsidRPr="004467F9">
        <w:t xml:space="preserve"> life was not merely circumstantial living in the forest, but a matter of enlightened and conscious choice. He illustrates this difference with living in the African forest, ‘where to stay in nature was borne by </w:t>
      </w:r>
      <w:proofErr w:type="gramStart"/>
      <w:r w:rsidRPr="004467F9">
        <w:t>ignorance.’,</w:t>
      </w:r>
      <w:proofErr w:type="gramEnd"/>
      <w:r w:rsidRPr="004467F9">
        <w:t xml:space="preserve"> Rabindranath Tagore, </w:t>
      </w:r>
      <w:proofErr w:type="spellStart"/>
      <w:r w:rsidRPr="004467F9">
        <w:t>Tapovan</w:t>
      </w:r>
      <w:proofErr w:type="spellEnd"/>
      <w:r w:rsidRPr="004467F9">
        <w:t xml:space="preserve">, Tagore web, p 9. </w:t>
      </w:r>
    </w:p>
  </w:footnote>
  <w:footnote w:id="15">
    <w:p w:rsidR="005D0572" w:rsidRPr="004467F9" w:rsidRDefault="005D0572" w:rsidP="005D0572">
      <w:pPr>
        <w:pStyle w:val="FootnoteText"/>
        <w:spacing w:line="276" w:lineRule="auto"/>
      </w:pPr>
      <w:r w:rsidRPr="004467F9">
        <w:rPr>
          <w:rStyle w:val="FootnoteReference"/>
        </w:rPr>
        <w:footnoteRef/>
      </w:r>
      <w:r w:rsidRPr="004467F9">
        <w:t xml:space="preserve"> M.K. Gandhi, Ashram Observances in Action, p 3, </w:t>
      </w:r>
      <w:hyperlink r:id="rId2" w:history="1">
        <w:r w:rsidRPr="004467F9">
          <w:rPr>
            <w:rStyle w:val="Hyperlink"/>
          </w:rPr>
          <w:t>https://www.mkgandhi.org/ebks/ashramobservance.pdf</w:t>
        </w:r>
      </w:hyperlink>
      <w:r w:rsidRPr="004467F9">
        <w:t xml:space="preserve"> </w:t>
      </w:r>
    </w:p>
  </w:footnote>
  <w:footnote w:id="16">
    <w:p w:rsidR="005D0572" w:rsidRPr="004467F9" w:rsidRDefault="005D0572" w:rsidP="005D0572">
      <w:pPr>
        <w:pStyle w:val="FootnoteText"/>
        <w:spacing w:line="276" w:lineRule="auto"/>
      </w:pPr>
      <w:r w:rsidRPr="004467F9">
        <w:rPr>
          <w:rStyle w:val="FootnoteReference"/>
        </w:rPr>
        <w:footnoteRef/>
      </w:r>
      <w:r w:rsidRPr="004467F9">
        <w:t xml:space="preserve">Bower, Charles, "The Gandhian Ashram and its Contemporaries" (2015). Undergraduate </w:t>
      </w:r>
      <w:proofErr w:type="spellStart"/>
      <w:r w:rsidRPr="004467F9">
        <w:t>Honors</w:t>
      </w:r>
      <w:proofErr w:type="spellEnd"/>
      <w:r w:rsidRPr="004467F9">
        <w:t xml:space="preserve"> Theses. 784. </w:t>
      </w:r>
    </w:p>
    <w:p w:rsidR="005D0572" w:rsidRPr="004467F9" w:rsidRDefault="002C1467" w:rsidP="005D0572">
      <w:pPr>
        <w:pStyle w:val="FootnoteText"/>
        <w:spacing w:line="276" w:lineRule="auto"/>
      </w:pPr>
      <w:hyperlink r:id="rId3" w:history="1">
        <w:r w:rsidR="005D0572" w:rsidRPr="004467F9">
          <w:rPr>
            <w:rStyle w:val="Hyperlink"/>
          </w:rPr>
          <w:t>https://scholar.colorado.edu/honr_theses/784</w:t>
        </w:r>
      </w:hyperlink>
      <w:r w:rsidR="005D0572" w:rsidRPr="004467F9">
        <w:t xml:space="preserve"> </w:t>
      </w:r>
    </w:p>
  </w:footnote>
  <w:footnote w:id="17">
    <w:p w:rsidR="005D0572" w:rsidRPr="004467F9" w:rsidRDefault="005D0572" w:rsidP="005D0572">
      <w:pPr>
        <w:pStyle w:val="FootnoteText"/>
        <w:spacing w:line="276" w:lineRule="auto"/>
      </w:pPr>
      <w:r w:rsidRPr="004467F9">
        <w:rPr>
          <w:rStyle w:val="FootnoteReference"/>
        </w:rPr>
        <w:footnoteRef/>
      </w:r>
      <w:r w:rsidRPr="004467F9">
        <w:t xml:space="preserve"> Charlotte Alston, Tolstoy and His Disciples: The History of a Radical International Movement</w:t>
      </w:r>
    </w:p>
    <w:p w:rsidR="005D0572" w:rsidRPr="004467F9" w:rsidRDefault="005D0572" w:rsidP="005D0572">
      <w:pPr>
        <w:pStyle w:val="FootnoteText"/>
        <w:spacing w:line="276" w:lineRule="auto"/>
      </w:pPr>
      <w:r w:rsidRPr="004467F9">
        <w:t xml:space="preserve">(London: I.B. Taurus &amp; Co, 2014), pp 90-92. </w:t>
      </w:r>
    </w:p>
  </w:footnote>
  <w:footnote w:id="18">
    <w:p w:rsidR="007467D0" w:rsidRPr="004467F9" w:rsidRDefault="007467D0" w:rsidP="007467D0">
      <w:pPr>
        <w:pStyle w:val="FootnoteText"/>
        <w:spacing w:line="276" w:lineRule="auto"/>
      </w:pPr>
      <w:r w:rsidRPr="004467F9">
        <w:rPr>
          <w:rStyle w:val="FootnoteReference"/>
        </w:rPr>
        <w:footnoteRef/>
      </w:r>
      <w:r w:rsidRPr="004467F9">
        <w:t xml:space="preserve"> </w:t>
      </w:r>
      <w:proofErr w:type="spellStart"/>
      <w:r w:rsidRPr="004467F9">
        <w:t>Tanika</w:t>
      </w:r>
      <w:proofErr w:type="spellEnd"/>
      <w:r w:rsidRPr="004467F9">
        <w:t xml:space="preserve"> Sarkar, Gandhi and social relations, The Cambridge Companion to Gandhi, p 188.</w:t>
      </w:r>
    </w:p>
  </w:footnote>
  <w:footnote w:id="19">
    <w:p w:rsidR="007467D0" w:rsidRPr="004467F9" w:rsidRDefault="007467D0" w:rsidP="007467D0">
      <w:pPr>
        <w:pStyle w:val="FootnoteText"/>
        <w:spacing w:line="276" w:lineRule="auto"/>
      </w:pPr>
      <w:r w:rsidRPr="004467F9">
        <w:rPr>
          <w:rStyle w:val="FootnoteReference"/>
        </w:rPr>
        <w:footnoteRef/>
      </w:r>
      <w:r w:rsidRPr="004467F9">
        <w:t xml:space="preserve"> Gandhi cut the long hair of two girl students in an effort to save them from sinful male gaze in the Tolstoy farm. Long hair makes them vulnerable to sexualised abuse. Mahatma Gandhi at Work, p 325. </w:t>
      </w:r>
    </w:p>
  </w:footnote>
  <w:footnote w:id="20">
    <w:p w:rsidR="002A0956" w:rsidRPr="004467F9" w:rsidRDefault="002A0956" w:rsidP="002A0956">
      <w:pPr>
        <w:pStyle w:val="FootnoteText"/>
        <w:spacing w:line="276" w:lineRule="auto"/>
      </w:pPr>
      <w:r w:rsidRPr="004467F9">
        <w:rPr>
          <w:rStyle w:val="FootnoteReference"/>
        </w:rPr>
        <w:footnoteRef/>
      </w:r>
      <w:r w:rsidRPr="004467F9">
        <w:t xml:space="preserve"> </w:t>
      </w:r>
      <w:proofErr w:type="spellStart"/>
      <w:r w:rsidRPr="004467F9">
        <w:t>Rathindranath</w:t>
      </w:r>
      <w:proofErr w:type="spellEnd"/>
      <w:r w:rsidRPr="004467F9">
        <w:t xml:space="preserve"> Tagore,</w:t>
      </w:r>
      <w:r w:rsidRPr="004467F9">
        <w:rPr>
          <w:i/>
        </w:rPr>
        <w:t xml:space="preserve"> On the Edges of Time, </w:t>
      </w:r>
      <w:r w:rsidRPr="004467F9">
        <w:t>Calcutta, 1958, p 53</w:t>
      </w:r>
    </w:p>
  </w:footnote>
  <w:footnote w:id="21">
    <w:p w:rsidR="005E7E2A" w:rsidRPr="004467F9" w:rsidRDefault="005E7E2A" w:rsidP="005E7E2A">
      <w:pPr>
        <w:pStyle w:val="FootnoteText"/>
        <w:spacing w:line="276" w:lineRule="auto"/>
      </w:pPr>
      <w:r w:rsidRPr="004467F9">
        <w:rPr>
          <w:rStyle w:val="FootnoteReference"/>
        </w:rPr>
        <w:footnoteRef/>
      </w:r>
      <w:r w:rsidRPr="004467F9">
        <w:t xml:space="preserve"> Barbara Rosenwein, Emotional Communities in the Early Middle Ages, p 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866" w:rsidRDefault="00110866" w:rsidP="00110866">
    <w:pPr>
      <w:pStyle w:val="Header"/>
    </w:pPr>
    <w:r>
      <w:t xml:space="preserve">Somak Biswas                                                                                                                                         </w:t>
    </w:r>
    <w:r w:rsidRPr="00110866">
      <w:t xml:space="preserve"> </w:t>
    </w:r>
    <w:r>
      <w:t>Draft</w:t>
    </w:r>
    <w:r>
      <w:br/>
    </w:r>
  </w:p>
  <w:p w:rsidR="00110866" w:rsidRDefault="00110866"/>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C04"/>
    <w:rsid w:val="00034B20"/>
    <w:rsid w:val="00106FF4"/>
    <w:rsid w:val="00110866"/>
    <w:rsid w:val="001829D1"/>
    <w:rsid w:val="002373B4"/>
    <w:rsid w:val="002A0956"/>
    <w:rsid w:val="002C1467"/>
    <w:rsid w:val="0036623B"/>
    <w:rsid w:val="0037231B"/>
    <w:rsid w:val="003B7ED1"/>
    <w:rsid w:val="00412501"/>
    <w:rsid w:val="0042581B"/>
    <w:rsid w:val="004727E5"/>
    <w:rsid w:val="004A1EFD"/>
    <w:rsid w:val="00513FF4"/>
    <w:rsid w:val="00567ECE"/>
    <w:rsid w:val="005D0572"/>
    <w:rsid w:val="005E7E2A"/>
    <w:rsid w:val="005F2CB8"/>
    <w:rsid w:val="006766E1"/>
    <w:rsid w:val="00685F1B"/>
    <w:rsid w:val="006A1BBD"/>
    <w:rsid w:val="006D4245"/>
    <w:rsid w:val="007044EA"/>
    <w:rsid w:val="00735F00"/>
    <w:rsid w:val="00736A87"/>
    <w:rsid w:val="007467D0"/>
    <w:rsid w:val="00784133"/>
    <w:rsid w:val="007A137A"/>
    <w:rsid w:val="007A2915"/>
    <w:rsid w:val="007F40DD"/>
    <w:rsid w:val="008B49F6"/>
    <w:rsid w:val="008C3670"/>
    <w:rsid w:val="009A63AB"/>
    <w:rsid w:val="00A46637"/>
    <w:rsid w:val="00A62134"/>
    <w:rsid w:val="00AA0C5A"/>
    <w:rsid w:val="00AC31FE"/>
    <w:rsid w:val="00B95F6C"/>
    <w:rsid w:val="00B96C04"/>
    <w:rsid w:val="00C472A2"/>
    <w:rsid w:val="00CB12B0"/>
    <w:rsid w:val="00CC51B1"/>
    <w:rsid w:val="00CF5E85"/>
    <w:rsid w:val="00D56BA2"/>
    <w:rsid w:val="00DA1090"/>
    <w:rsid w:val="00DD28DD"/>
    <w:rsid w:val="00EB3696"/>
    <w:rsid w:val="00EB5E67"/>
    <w:rsid w:val="00ED130D"/>
    <w:rsid w:val="00F12471"/>
    <w:rsid w:val="00F20A23"/>
    <w:rsid w:val="00F62B4F"/>
    <w:rsid w:val="00FC1C5B"/>
    <w:rsid w:val="00FE40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46C1CF3"/>
  <w15:chartTrackingRefBased/>
  <w15:docId w15:val="{D5B64131-A378-44BA-A219-9D1269071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6C0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96C04"/>
    <w:pPr>
      <w:spacing w:after="0" w:line="240" w:lineRule="auto"/>
    </w:pPr>
    <w:rPr>
      <w:sz w:val="20"/>
      <w:szCs w:val="20"/>
    </w:rPr>
  </w:style>
  <w:style w:type="character" w:customStyle="1" w:styleId="FootnoteTextChar">
    <w:name w:val="Footnote Text Char"/>
    <w:basedOn w:val="DefaultParagraphFont"/>
    <w:link w:val="FootnoteText"/>
    <w:uiPriority w:val="99"/>
    <w:rsid w:val="00B96C04"/>
    <w:rPr>
      <w:sz w:val="20"/>
      <w:szCs w:val="20"/>
    </w:rPr>
  </w:style>
  <w:style w:type="character" w:styleId="FootnoteReference">
    <w:name w:val="footnote reference"/>
    <w:basedOn w:val="DefaultParagraphFont"/>
    <w:uiPriority w:val="99"/>
    <w:unhideWhenUsed/>
    <w:rsid w:val="00B96C04"/>
    <w:rPr>
      <w:vertAlign w:val="superscript"/>
    </w:rPr>
  </w:style>
  <w:style w:type="character" w:customStyle="1" w:styleId="exldetailsdisplayval">
    <w:name w:val="exldetailsdisplayval"/>
    <w:basedOn w:val="DefaultParagraphFont"/>
    <w:rsid w:val="00B96C04"/>
  </w:style>
  <w:style w:type="character" w:styleId="Hyperlink">
    <w:name w:val="Hyperlink"/>
    <w:basedOn w:val="DefaultParagraphFont"/>
    <w:uiPriority w:val="99"/>
    <w:unhideWhenUsed/>
    <w:rsid w:val="00B96C04"/>
    <w:rPr>
      <w:color w:val="0563C1" w:themeColor="hyperlink"/>
      <w:u w:val="single"/>
    </w:rPr>
  </w:style>
  <w:style w:type="paragraph" w:styleId="Header">
    <w:name w:val="header"/>
    <w:basedOn w:val="Normal"/>
    <w:link w:val="HeaderChar"/>
    <w:uiPriority w:val="99"/>
    <w:unhideWhenUsed/>
    <w:rsid w:val="00B96C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6C04"/>
  </w:style>
  <w:style w:type="paragraph" w:styleId="Footer">
    <w:name w:val="footer"/>
    <w:basedOn w:val="Normal"/>
    <w:link w:val="FooterChar"/>
    <w:uiPriority w:val="99"/>
    <w:unhideWhenUsed/>
    <w:rsid w:val="00B96C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96C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scholar.colorado.edu/honr_theses/784" TargetMode="External"/><Relationship Id="rId2" Type="http://schemas.openxmlformats.org/officeDocument/2006/relationships/hyperlink" Target="https://www.mkgandhi.org/ebks/ashramobservance.pdf" TargetMode="External"/><Relationship Id="rId1" Type="http://schemas.openxmlformats.org/officeDocument/2006/relationships/hyperlink" Target="https://www.sahapedia.org/tagore-and-caste-brahmacharyasram-swadeshi-movement-1901%E2%80%93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CC9583-2289-492C-B738-27D17146A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BEC60EDB</Template>
  <TotalTime>11</TotalTime>
  <Pages>7</Pages>
  <Words>2100</Words>
  <Characters>11786</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Biswas, Somak</dc:creator>
  <cp:keywords/>
  <dc:description/>
  <cp:lastModifiedBy>Biswas, Somak</cp:lastModifiedBy>
  <cp:revision>5</cp:revision>
  <dcterms:created xsi:type="dcterms:W3CDTF">2019-04-23T19:54:00Z</dcterms:created>
  <dcterms:modified xsi:type="dcterms:W3CDTF">2019-04-23T20:04:00Z</dcterms:modified>
</cp:coreProperties>
</file>