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06E5" w:rsidRDefault="00813B54">
      <w:r>
        <w:t>Postgraduate Teaching Mentoring</w:t>
      </w:r>
    </w:p>
    <w:p w:rsidR="00813B54" w:rsidRDefault="00813B54"/>
    <w:p w:rsidR="00813B54" w:rsidRDefault="00813B54">
      <w:r>
        <w:t>Cathy has been very helpful and supportive throughout my first year of teaching in the French department.  Prior to the start of the academic year, she organized a meeting with me to discuss the seminar teaching and ways in which to approach preparing the materials and marking essays.  Over the course of the year she also organized a number of marking moderation meetings for the essay work. These sessions – although principally for the whole teaching team – were especially useful in</w:t>
      </w:r>
      <w:r w:rsidR="001E739B">
        <w:t xml:space="preserve"> helping me to improve</w:t>
      </w:r>
      <w:r>
        <w:t xml:space="preserve"> my marking style and for examining examples of best practice, which I could model in my own marking.  In the second term, Cathy mentored me individually to improve my marking.  Part of this involved marking and sending a sample of copies to her, which we then discussed in detail together.  I very much appreciated not only the effort that she put into working with me, but also her encouragement which gave me the confidence to improve.  In preparation for teaching different modules next year, she also organized sessions to discuss the requirements and provided us with the relevant materials to work on over the vacation.  Cathy is very approachable and I have always felt able to get in touch with her with queries regarding teaching.</w:t>
      </w:r>
    </w:p>
    <w:p w:rsidR="001E739B" w:rsidRDefault="001E739B"/>
    <w:p w:rsidR="001E739B" w:rsidRDefault="001E739B">
      <w:r>
        <w:t xml:space="preserve">Sarah </w:t>
      </w:r>
      <w:proofErr w:type="spellStart"/>
      <w:r>
        <w:t>Blaney</w:t>
      </w:r>
      <w:proofErr w:type="spellEnd"/>
    </w:p>
    <w:p w:rsidR="009960BF" w:rsidRDefault="009960BF"/>
    <w:p w:rsidR="009960BF" w:rsidRDefault="009960BF" w:rsidP="009960BF">
      <w:pPr>
        <w:jc w:val="center"/>
        <w:rPr>
          <w:rFonts w:ascii="Arial" w:hAnsi="Arial" w:cs="Arial"/>
          <w:b/>
          <w:u w:val="single"/>
        </w:rPr>
      </w:pPr>
      <w:r>
        <w:rPr>
          <w:rFonts w:ascii="Arial" w:hAnsi="Arial" w:cs="Arial"/>
          <w:b/>
          <w:u w:val="single"/>
        </w:rPr>
        <w:t xml:space="preserve">Statement in support of </w:t>
      </w:r>
      <w:proofErr w:type="spellStart"/>
      <w:r>
        <w:rPr>
          <w:rFonts w:ascii="Arial" w:hAnsi="Arial" w:cs="Arial"/>
          <w:b/>
          <w:u w:val="single"/>
        </w:rPr>
        <w:t>Dr</w:t>
      </w:r>
      <w:proofErr w:type="spellEnd"/>
      <w:r>
        <w:rPr>
          <w:rFonts w:ascii="Arial" w:hAnsi="Arial" w:cs="Arial"/>
          <w:b/>
          <w:u w:val="single"/>
        </w:rPr>
        <w:t xml:space="preserve"> Cathy Hampton</w:t>
      </w:r>
    </w:p>
    <w:p w:rsidR="009960BF" w:rsidRDefault="009960BF" w:rsidP="009960BF">
      <w:pPr>
        <w:rPr>
          <w:rFonts w:ascii="Arial" w:hAnsi="Arial" w:cs="Arial"/>
        </w:rPr>
      </w:pPr>
      <w:proofErr w:type="spellStart"/>
      <w:r>
        <w:rPr>
          <w:rFonts w:ascii="Arial" w:hAnsi="Arial" w:cs="Arial"/>
        </w:rPr>
        <w:t>Dr</w:t>
      </w:r>
      <w:proofErr w:type="spellEnd"/>
      <w:r>
        <w:rPr>
          <w:rFonts w:ascii="Arial" w:hAnsi="Arial" w:cs="Arial"/>
        </w:rPr>
        <w:t xml:space="preserve"> Cathy Hampton is an exceptional teaching fellow, who combines a passion for learning with a strong pastoral ability. Cathy has been at the forefront of an innovative institutional project and has also taken a lead on a project of national strategic importance, both related to the theme of the Year Abroad. As the coordinator of the French Year Abroad Virtual Learning Environment, Cathy has been responsible for overseeing the development of the Moodle and </w:t>
      </w:r>
      <w:proofErr w:type="spellStart"/>
      <w:r>
        <w:rPr>
          <w:rFonts w:ascii="Arial" w:hAnsi="Arial" w:cs="Arial"/>
        </w:rPr>
        <w:t>Mahara</w:t>
      </w:r>
      <w:proofErr w:type="spellEnd"/>
      <w:r>
        <w:rPr>
          <w:rFonts w:ascii="Arial" w:hAnsi="Arial" w:cs="Arial"/>
        </w:rPr>
        <w:t xml:space="preserve"> pages used by the department of French Studies. Cathy’s oversight of this project launched the first VLE used by the department, which Cathy has also applied to a variety of first-year modules. Cathy has thus succeeded in leading a revolutionary approach to e-learning within the department, enabling students to develop as learners beyond the classroom, notably through the use of reflective e-portfolios through </w:t>
      </w:r>
      <w:proofErr w:type="spellStart"/>
      <w:r>
        <w:rPr>
          <w:rFonts w:ascii="Arial" w:hAnsi="Arial" w:cs="Arial"/>
        </w:rPr>
        <w:t>Mahara</w:t>
      </w:r>
      <w:proofErr w:type="spellEnd"/>
      <w:r>
        <w:rPr>
          <w:rFonts w:ascii="Arial" w:hAnsi="Arial" w:cs="Arial"/>
        </w:rPr>
        <w:t xml:space="preserve"> and through constructivist assignments.</w:t>
      </w:r>
    </w:p>
    <w:p w:rsidR="009960BF" w:rsidRDefault="009960BF" w:rsidP="009960BF">
      <w:pPr>
        <w:rPr>
          <w:rFonts w:ascii="Arial" w:hAnsi="Arial" w:cs="Arial"/>
          <w:szCs w:val="20"/>
        </w:rPr>
      </w:pPr>
      <w:r>
        <w:rPr>
          <w:rFonts w:ascii="Arial" w:hAnsi="Arial" w:cs="Arial"/>
        </w:rPr>
        <w:t xml:space="preserve">Cathy has also been involved at an institutional level in the development of Moodle and </w:t>
      </w:r>
      <w:proofErr w:type="spellStart"/>
      <w:r>
        <w:rPr>
          <w:rFonts w:ascii="Arial" w:hAnsi="Arial" w:cs="Arial"/>
        </w:rPr>
        <w:t>Mahara</w:t>
      </w:r>
      <w:proofErr w:type="spellEnd"/>
      <w:r>
        <w:rPr>
          <w:rFonts w:ascii="Arial" w:hAnsi="Arial" w:cs="Arial"/>
        </w:rPr>
        <w:t xml:space="preserve"> across the University, disseminating findings at, for example, the Institutional Teaching and Learning Showcase. Cathy’s pioneering use of Moodle and </w:t>
      </w:r>
      <w:proofErr w:type="spellStart"/>
      <w:r>
        <w:rPr>
          <w:rFonts w:ascii="Arial" w:hAnsi="Arial" w:cs="Arial"/>
        </w:rPr>
        <w:t>Mahara</w:t>
      </w:r>
      <w:proofErr w:type="spellEnd"/>
      <w:r>
        <w:rPr>
          <w:rFonts w:ascii="Arial" w:hAnsi="Arial" w:cs="Arial"/>
        </w:rPr>
        <w:t xml:space="preserve"> for the purposes of supporting the Year Abroad cohort at Warwick has led to the creation of a network of institutional partners whose aim is to develop the use of e-portfolios for the purposes of student language learning and the enhancement of transferable skills. Cathy has disseminated her use of the </w:t>
      </w:r>
      <w:proofErr w:type="spellStart"/>
      <w:r>
        <w:rPr>
          <w:rFonts w:ascii="Arial" w:hAnsi="Arial" w:cs="Arial"/>
        </w:rPr>
        <w:t>Mahara</w:t>
      </w:r>
      <w:proofErr w:type="spellEnd"/>
      <w:r>
        <w:rPr>
          <w:rFonts w:ascii="Arial" w:hAnsi="Arial" w:cs="Arial"/>
        </w:rPr>
        <w:t xml:space="preserve"> e-portfolio builder for year abroad students at a number of national conferences, including the biennial conference of the subject group for Languages, Linguistics and Area Studies (LLAS). Through leading the use of e-portfolios for year abroad students, Cathy has demonstrated a clear capacity for adaptability and </w:t>
      </w:r>
      <w:r w:rsidRPr="00F00B32">
        <w:rPr>
          <w:rFonts w:ascii="Arial" w:hAnsi="Arial" w:cs="Arial"/>
          <w:szCs w:val="20"/>
        </w:rPr>
        <w:t>adaptability to changing circumstances and technologies</w:t>
      </w:r>
      <w:r>
        <w:rPr>
          <w:rFonts w:ascii="Arial" w:hAnsi="Arial" w:cs="Arial"/>
          <w:szCs w:val="20"/>
        </w:rPr>
        <w:t xml:space="preserve">, adapting the department’s provision for year abroad students to reflect a new social media age. Cathy’s </w:t>
      </w:r>
      <w:r>
        <w:rPr>
          <w:rFonts w:ascii="Arial" w:hAnsi="Arial" w:cs="Arial"/>
          <w:szCs w:val="20"/>
        </w:rPr>
        <w:lastRenderedPageBreak/>
        <w:t xml:space="preserve">use of the electronic video creator and repository, </w:t>
      </w:r>
      <w:proofErr w:type="spellStart"/>
      <w:r>
        <w:rPr>
          <w:rFonts w:ascii="Arial" w:hAnsi="Arial" w:cs="Arial"/>
          <w:szCs w:val="20"/>
        </w:rPr>
        <w:t>Kaltura</w:t>
      </w:r>
      <w:proofErr w:type="spellEnd"/>
      <w:r>
        <w:rPr>
          <w:rFonts w:ascii="Arial" w:hAnsi="Arial" w:cs="Arial"/>
          <w:szCs w:val="20"/>
        </w:rPr>
        <w:t>, has also reflected this adaptability, drawing on new technologies to develop students as learners and as citizens.</w:t>
      </w:r>
    </w:p>
    <w:p w:rsidR="009960BF" w:rsidRDefault="009960BF" w:rsidP="009960BF">
      <w:pPr>
        <w:rPr>
          <w:rFonts w:ascii="Arial" w:hAnsi="Arial" w:cs="Arial"/>
        </w:rPr>
      </w:pPr>
      <w:r>
        <w:rPr>
          <w:rFonts w:ascii="Arial" w:hAnsi="Arial" w:cs="Arial"/>
          <w:szCs w:val="20"/>
        </w:rPr>
        <w:t xml:space="preserve">Cathy is a significant influence on the team of postgraduate teachers in the department. </w:t>
      </w:r>
      <w:r>
        <w:rPr>
          <w:rFonts w:ascii="Arial" w:hAnsi="Arial" w:cs="Arial"/>
        </w:rPr>
        <w:t xml:space="preserve">In my own postgraduate teaching career, I have greatly benefited from Cathy’s guidance and mentoring. In addition to one-to-one mentoring, Cathy has also designed and delivered training courses for the team of postgraduate language tutors, providing guidance on assessment methods and on pedagogic theories. Cathy has been a highly supportive mentor and a constant presence in my own professional development. Whether offering support on lecturing techniques and styles, or disseminating best small group teaching practice, in particular with regards to encouraging student participation and facilitating deep learning, Cathy has been a consistent source of inspiration. </w:t>
      </w:r>
    </w:p>
    <w:p w:rsidR="009960BF" w:rsidRDefault="009960BF" w:rsidP="009960BF">
      <w:pPr>
        <w:rPr>
          <w:rFonts w:ascii="Arial" w:hAnsi="Arial" w:cs="Arial"/>
        </w:rPr>
      </w:pPr>
      <w:r>
        <w:rPr>
          <w:rFonts w:ascii="Arial" w:hAnsi="Arial" w:cs="Arial"/>
        </w:rPr>
        <w:t xml:space="preserve">Indeed, Cathy’s innovative curriculum design, with an emphasis on open-space learning (OSL) and the ‘student-as-researcher’ model, has had a great influence on my own teaching practice. Cathy has combined both pedagogic theories in her second-year module ‘In the Family Way: Birth, Sex and Death in Seventeenth-Century French Culture and Texts,’ departing from traditional, desk-based teaching and learning to bring early modern literature to the social media generation of students. Cathy’s course content is thus highly engaging and inspirational for both her students and for colleagues. The teaching environment fostered by Cathy is outstanding, supporting and inspiring students through a variety of techniques employed in lectures and small group teaching. Cathy’s use of the student as researcher model, for example, encourages students to pursue individual and collaborative research, training a future generation of scholars and graduate employees with an emphasis on research skills, report writing and presentation skills. The incorporation of highly contemporary pedagogy, especially the OSL theories developed by the Institute of Advanced Teaching and </w:t>
      </w:r>
      <w:proofErr w:type="gramStart"/>
      <w:r>
        <w:rPr>
          <w:rFonts w:ascii="Arial" w:hAnsi="Arial" w:cs="Arial"/>
        </w:rPr>
        <w:t>Learning</w:t>
      </w:r>
      <w:proofErr w:type="gramEnd"/>
      <w:r>
        <w:rPr>
          <w:rFonts w:ascii="Arial" w:hAnsi="Arial" w:cs="Arial"/>
        </w:rPr>
        <w:t>, demonstrates Cathy’s strong contribution to course development in the department.</w:t>
      </w:r>
    </w:p>
    <w:p w:rsidR="009960BF" w:rsidRDefault="009960BF" w:rsidP="009960BF">
      <w:pPr>
        <w:rPr>
          <w:rFonts w:ascii="Arial" w:hAnsi="Arial" w:cs="Arial"/>
        </w:rPr>
      </w:pPr>
      <w:r>
        <w:rPr>
          <w:rFonts w:ascii="Arial" w:hAnsi="Arial" w:cs="Arial"/>
        </w:rPr>
        <w:t xml:space="preserve">Cathy has consistently contributed to activities across the University, leading a Widening Participation project in collaboration with the Institute of Education which enables students on the year abroad to produce educational resources for comprehensive schools in Coventry and Warwickshire. Cathy has also championed the activities of the University in the wider community by speaking at an annual conference of sixth-form students in Milton Keynes, while creating a major new opportunity for the University on a national level through her coordination of the inter-institutional Year Abroad VLE group. Through collaborating with the student-run French Society in the creation of a departmental student mentoring scheme, Cathy has made a major contribution to the social environment of the University, markedly improving the student experience. In the same way, through establishing a peer-support teaching fellow group within the sub-Faculty of Modern Languages, Cathy has made a vast contribution to the cultural environment for all teaching staff at the sub-Faculty level. </w:t>
      </w:r>
    </w:p>
    <w:p w:rsidR="009960BF" w:rsidRDefault="009960BF" w:rsidP="009960BF">
      <w:pPr>
        <w:rPr>
          <w:rFonts w:ascii="Arial" w:hAnsi="Arial" w:cs="Arial"/>
        </w:rPr>
      </w:pPr>
      <w:r>
        <w:rPr>
          <w:rFonts w:ascii="Arial" w:hAnsi="Arial" w:cs="Arial"/>
        </w:rPr>
        <w:t xml:space="preserve">In summary, Cathy Hampton has demonstrated clear teaching leadership at every level: in the department, in the sub-Faculty, institutionally and nationally. Cathy is an innovative and inspirational university teacher, whose application of technology-enhanced learning to curriculum development and to the </w:t>
      </w:r>
      <w:r>
        <w:rPr>
          <w:rFonts w:ascii="Arial" w:hAnsi="Arial" w:cs="Arial"/>
        </w:rPr>
        <w:lastRenderedPageBreak/>
        <w:t xml:space="preserve">learning process of the Year Abroad has demonstrated her strong contribution to the undergraduate student experience. Cathy’s support for her colleagues and for graduate students in the department underlines her commitment to the life of the University, while her module design and delivery demonstrates Cathy’s creative approach to the transferable skills required by today’s generation of students. Cathy’s teaching innovations, and her inspirational approach to teaching and learning was </w:t>
      </w:r>
      <w:proofErr w:type="spellStart"/>
      <w:r>
        <w:rPr>
          <w:rFonts w:ascii="Arial" w:hAnsi="Arial" w:cs="Arial"/>
        </w:rPr>
        <w:t>recognised</w:t>
      </w:r>
      <w:proofErr w:type="spellEnd"/>
      <w:r>
        <w:rPr>
          <w:rFonts w:ascii="Arial" w:hAnsi="Arial" w:cs="Arial"/>
        </w:rPr>
        <w:t xml:space="preserve"> by students and staff last academic year (2011-12) when Cathy obtained a Warwick Award for Teaching Excellence. Cathy has since continued to enhance her teaching practice and continues to make a significant contribution to the life of the department and to the wider teaching and learning community at the University</w:t>
      </w:r>
    </w:p>
    <w:p w:rsidR="009960BF" w:rsidRDefault="009960BF" w:rsidP="009960BF">
      <w:pPr>
        <w:rPr>
          <w:rFonts w:ascii="Arial" w:hAnsi="Arial" w:cs="Arial"/>
        </w:rPr>
      </w:pPr>
    </w:p>
    <w:p w:rsidR="009960BF" w:rsidRPr="004741C4" w:rsidRDefault="009960BF" w:rsidP="009960BF">
      <w:pPr>
        <w:pStyle w:val="NoSpacing"/>
        <w:rPr>
          <w:rFonts w:ascii="Arial" w:hAnsi="Arial" w:cs="Arial"/>
        </w:rPr>
      </w:pPr>
      <w:r w:rsidRPr="004741C4">
        <w:rPr>
          <w:rFonts w:ascii="Arial" w:hAnsi="Arial" w:cs="Arial"/>
        </w:rPr>
        <w:t>David Lees, PhD Candidate, Department of French Studies</w:t>
      </w:r>
    </w:p>
    <w:p w:rsidR="009960BF" w:rsidRDefault="009960BF" w:rsidP="009960BF">
      <w:pPr>
        <w:rPr>
          <w:rFonts w:ascii="Arial" w:hAnsi="Arial" w:cs="Arial"/>
        </w:rPr>
      </w:pPr>
      <w:r w:rsidRPr="004741C4">
        <w:rPr>
          <w:rFonts w:ascii="Arial" w:hAnsi="Arial" w:cs="Arial"/>
        </w:rPr>
        <w:t>Warwick Awards for Teaching Excellence PGR Winner 2012</w:t>
      </w:r>
    </w:p>
    <w:p w:rsidR="004E2008" w:rsidRDefault="004E2008">
      <w:pPr>
        <w:rPr>
          <w:rFonts w:ascii="Arial" w:hAnsi="Arial" w:cs="Arial"/>
        </w:rPr>
      </w:pPr>
      <w:r>
        <w:rPr>
          <w:rFonts w:ascii="Arial" w:hAnsi="Arial" w:cs="Arial"/>
        </w:rPr>
        <w:br w:type="page"/>
      </w:r>
    </w:p>
    <w:p w:rsidR="004E2008" w:rsidRDefault="004E2008" w:rsidP="009960BF">
      <w:pPr>
        <w:rPr>
          <w:rFonts w:ascii="Arial" w:hAnsi="Arial" w:cs="Arial"/>
        </w:rPr>
      </w:pPr>
      <w:bookmarkStart w:id="0" w:name="_GoBack"/>
      <w:bookmarkEnd w:id="0"/>
    </w:p>
    <w:p w:rsidR="004E2008" w:rsidRPr="00EF1DF5" w:rsidRDefault="004E2008" w:rsidP="004E2008">
      <w:pPr>
        <w:jc w:val="center"/>
        <w:rPr>
          <w:b/>
          <w:smallCaps/>
          <w:sz w:val="28"/>
        </w:rPr>
      </w:pPr>
      <w:proofErr w:type="gramStart"/>
      <w:r w:rsidRPr="00EF1DF5">
        <w:rPr>
          <w:b/>
          <w:smallCaps/>
          <w:sz w:val="28"/>
        </w:rPr>
        <w:t xml:space="preserve">Jonathan </w:t>
      </w:r>
      <w:smartTag w:uri="urn:schemas-microsoft-com:office:smarttags" w:element="place">
        <w:smartTag w:uri="urn:schemas-microsoft-com:office:smarttags" w:element="City">
          <w:r w:rsidRPr="00EF1DF5">
            <w:rPr>
              <w:b/>
              <w:smallCaps/>
              <w:sz w:val="28"/>
            </w:rPr>
            <w:t>Durham</w:t>
          </w:r>
        </w:smartTag>
      </w:smartTag>
      <w:r w:rsidRPr="00EF1DF5">
        <w:rPr>
          <w:b/>
          <w:smallCaps/>
          <w:sz w:val="28"/>
        </w:rPr>
        <w:t xml:space="preserve"> - Upgrade from M.Phil.</w:t>
      </w:r>
      <w:proofErr w:type="gramEnd"/>
      <w:r w:rsidRPr="00EF1DF5">
        <w:rPr>
          <w:b/>
          <w:smallCaps/>
          <w:sz w:val="28"/>
        </w:rPr>
        <w:t xml:space="preserve"> to PhD status</w:t>
      </w:r>
    </w:p>
    <w:p w:rsidR="004E2008" w:rsidRPr="00214568" w:rsidRDefault="004E2008" w:rsidP="004E2008">
      <w:pPr>
        <w:jc w:val="center"/>
        <w:rPr>
          <w:b/>
          <w:i/>
          <w:lang w:val="fr-FR"/>
        </w:rPr>
      </w:pPr>
      <w:r w:rsidRPr="00214568">
        <w:rPr>
          <w:b/>
          <w:i/>
          <w:lang w:val="fr-FR"/>
        </w:rPr>
        <w:t>Théâtre de femmes de l’ancien régime: étude esthétique et herméneutique</w:t>
      </w:r>
    </w:p>
    <w:p w:rsidR="004E2008" w:rsidRPr="00214568" w:rsidRDefault="004E2008" w:rsidP="004E2008">
      <w:pPr>
        <w:rPr>
          <w:b/>
          <w:lang w:val="fr-FR"/>
        </w:rPr>
      </w:pPr>
    </w:p>
    <w:p w:rsidR="004E2008" w:rsidRPr="00EF1DF5" w:rsidRDefault="004E2008" w:rsidP="004E2008">
      <w:pPr>
        <w:jc w:val="center"/>
        <w:rPr>
          <w:b/>
        </w:rPr>
      </w:pPr>
      <w:r w:rsidRPr="00EF1DF5">
        <w:rPr>
          <w:b/>
        </w:rPr>
        <w:t xml:space="preserve">Assessors: </w:t>
      </w:r>
      <w:proofErr w:type="spellStart"/>
      <w:r w:rsidRPr="00EF1DF5">
        <w:rPr>
          <w:b/>
        </w:rPr>
        <w:t>Dr</w:t>
      </w:r>
      <w:proofErr w:type="spellEnd"/>
      <w:r w:rsidRPr="00EF1DF5">
        <w:rPr>
          <w:b/>
        </w:rPr>
        <w:t xml:space="preserve"> Cathy Hampton and </w:t>
      </w:r>
      <w:proofErr w:type="spellStart"/>
      <w:r w:rsidRPr="00EF1DF5">
        <w:rPr>
          <w:b/>
        </w:rPr>
        <w:t>Dr</w:t>
      </w:r>
      <w:proofErr w:type="spellEnd"/>
      <w:r w:rsidRPr="00EF1DF5">
        <w:rPr>
          <w:b/>
        </w:rPr>
        <w:t xml:space="preserve"> Jessica </w:t>
      </w:r>
      <w:proofErr w:type="spellStart"/>
      <w:r w:rsidRPr="00EF1DF5">
        <w:rPr>
          <w:b/>
        </w:rPr>
        <w:t>Wardhaugh</w:t>
      </w:r>
      <w:proofErr w:type="spellEnd"/>
    </w:p>
    <w:p w:rsidR="004E2008" w:rsidRDefault="004E2008" w:rsidP="004E2008"/>
    <w:p w:rsidR="004E2008" w:rsidRDefault="004E2008" w:rsidP="004E2008"/>
    <w:p w:rsidR="004E2008" w:rsidRDefault="004E2008" w:rsidP="004E2008">
      <w:r>
        <w:t>The upgrade interview took place on Friday, 8 July between 2 and 3.15 p.m., and we were very happy to recommend that Jonathan be upgraded to PhD status. In the light of the questions discussed at the interview, we would like to meet again informally at the beginning of the autumn term in order to review his progress on the thesis introduction.</w:t>
      </w:r>
    </w:p>
    <w:p w:rsidR="004E2008" w:rsidRDefault="004E2008" w:rsidP="004E2008"/>
    <w:p w:rsidR="004E2008" w:rsidRDefault="004E2008" w:rsidP="004E2008">
      <w:pPr>
        <w:rPr>
          <w:b/>
          <w:i/>
          <w:u w:val="single"/>
        </w:rPr>
      </w:pPr>
      <w:r w:rsidRPr="00214568">
        <w:rPr>
          <w:b/>
          <w:i/>
          <w:u w:val="single"/>
        </w:rPr>
        <w:t>Thesis proposal</w:t>
      </w:r>
    </w:p>
    <w:p w:rsidR="004E2008" w:rsidRPr="00214568" w:rsidRDefault="004E2008" w:rsidP="004E2008">
      <w:pPr>
        <w:rPr>
          <w:b/>
          <w:i/>
          <w:u w:val="single"/>
        </w:rPr>
      </w:pPr>
    </w:p>
    <w:p w:rsidR="004E2008" w:rsidRPr="00EF1DF5" w:rsidRDefault="004E2008" w:rsidP="004E2008">
      <w:r>
        <w:t xml:space="preserve">Jonathan’s proposal was clearly structured and presented, and he had identified a coherent body of primary texts for study. The timetable for completion seemed reasonable, although we felt that the focus of each chapter on authors rather than (perhaps) themes might fruitfully be adapted as the thesis progressed. Jonathan had situated his topic very closely in the context of contemporary work on these female playwrights in both </w:t>
      </w:r>
      <w:smartTag w:uri="urn:schemas-microsoft-com:office:smarttags" w:element="country-region">
        <w:r>
          <w:t>Britain</w:t>
        </w:r>
      </w:smartTag>
      <w:r>
        <w:t xml:space="preserve"> and </w:t>
      </w:r>
      <w:smartTag w:uri="urn:schemas-microsoft-com:office:smarttags" w:element="country-region">
        <w:smartTag w:uri="urn:schemas-microsoft-com:office:smarttags" w:element="place">
          <w:r>
            <w:t>France</w:t>
          </w:r>
        </w:smartTag>
      </w:smartTag>
      <w:r>
        <w:t>, and demonstrated a detailed awareness of relevant secondary literature.</w:t>
      </w:r>
    </w:p>
    <w:p w:rsidR="004E2008" w:rsidRPr="00EF1DF5" w:rsidRDefault="004E2008" w:rsidP="004E2008"/>
    <w:p w:rsidR="004E2008" w:rsidRDefault="004E2008" w:rsidP="004E2008">
      <w:pPr>
        <w:rPr>
          <w:b/>
          <w:i/>
          <w:u w:val="single"/>
        </w:rPr>
      </w:pPr>
      <w:r w:rsidRPr="00214568">
        <w:rPr>
          <w:b/>
          <w:i/>
          <w:u w:val="single"/>
        </w:rPr>
        <w:t>Submitted chapter</w:t>
      </w:r>
    </w:p>
    <w:p w:rsidR="004E2008" w:rsidRPr="00214568" w:rsidRDefault="004E2008" w:rsidP="004E2008">
      <w:pPr>
        <w:rPr>
          <w:b/>
          <w:i/>
          <w:u w:val="single"/>
        </w:rPr>
      </w:pPr>
    </w:p>
    <w:p w:rsidR="004E2008" w:rsidRDefault="004E2008" w:rsidP="004E2008">
      <w:r>
        <w:t>The submitted chapter — a study of Françoise Pascal — was also clearly presented and made close reference to recent scholarship on the author and her work. It offered an overview of Pascal’s literary output, and suggested that she be regarded as a ‘</w:t>
      </w:r>
      <w:proofErr w:type="spellStart"/>
      <w:r>
        <w:t>pionnière</w:t>
      </w:r>
      <w:proofErr w:type="spellEnd"/>
      <w:r>
        <w:t xml:space="preserve"> de la scène </w:t>
      </w:r>
      <w:proofErr w:type="spellStart"/>
      <w:r>
        <w:t>professionnelle</w:t>
      </w:r>
      <w:proofErr w:type="spellEnd"/>
      <w:r>
        <w:t xml:space="preserve">’, notably on account of the publication of her works and her use of the one-act play. Though Pascal’s work was carefully described and her importance underlined, we had some reservations about this chapter on conceptual grounds. In particular, we felt that the theoretical and methodological framework for the analysis of Pascal’s work needed to be more fully developed. Reference was made, for example, to the importance of the aesthetic rules of the time, but more information was desirable on Pascal’s response to these rules, not least in her construction of plot and portrayal of character. Equally, although Jonathan’s approach seemed to have a feminist character, the application of feminist theory to these texts was dismissed rather than discussed.  We felt, therefore, that the methodology of the thesis needed a much fuller development, and that the originality of the approach and contribution also needed emphasis. In this chapter, for example, the direction and importance of the argument were not always quite clear: on the one hand, there was a strong emphasis on Pascal’s innovative and pioneering approach, but on the other, the suggestion that her works were purely derivative. The close reading / lexical comparisons given in the chapter are not of themselves convincing as an indicator of Pascal’s pioneering (or possibly derivative) position and risk pulling the chapter in a rather descriptive direction.  We felt, therefore, that the use of the Molière 21 database to highlight themes </w:t>
      </w:r>
      <w:r>
        <w:lastRenderedPageBreak/>
        <w:t xml:space="preserve">present in both Pascal’s and Molière’s work might be more fruitful with a wider range of authors to consider and with a clearer methodological underpinning. </w:t>
      </w:r>
    </w:p>
    <w:p w:rsidR="004E2008" w:rsidRDefault="004E2008" w:rsidP="004E2008">
      <w:r>
        <w:tab/>
        <w:t>We recognized, however, that the chapter had been written some months previously, and so were keen to hear in the interview how Jonathan’s reflections on the sources and methodology had developed in the meantime.</w:t>
      </w:r>
    </w:p>
    <w:p w:rsidR="004E2008" w:rsidRDefault="004E2008" w:rsidP="004E2008"/>
    <w:p w:rsidR="004E2008" w:rsidRDefault="004E2008" w:rsidP="004E2008">
      <w:pPr>
        <w:rPr>
          <w:b/>
          <w:i/>
        </w:rPr>
      </w:pPr>
    </w:p>
    <w:p w:rsidR="004E2008" w:rsidRDefault="004E2008" w:rsidP="004E2008">
      <w:pPr>
        <w:rPr>
          <w:b/>
          <w:i/>
        </w:rPr>
      </w:pPr>
    </w:p>
    <w:p w:rsidR="004E2008" w:rsidRDefault="004E2008" w:rsidP="004E2008">
      <w:pPr>
        <w:rPr>
          <w:b/>
          <w:i/>
        </w:rPr>
      </w:pPr>
    </w:p>
    <w:p w:rsidR="004E2008" w:rsidRPr="00214568" w:rsidRDefault="004E2008" w:rsidP="004E2008">
      <w:pPr>
        <w:rPr>
          <w:b/>
          <w:i/>
          <w:u w:val="single"/>
        </w:rPr>
      </w:pPr>
      <w:r w:rsidRPr="00214568">
        <w:rPr>
          <w:b/>
          <w:i/>
          <w:u w:val="single"/>
        </w:rPr>
        <w:t>Interview</w:t>
      </w:r>
    </w:p>
    <w:p w:rsidR="004E2008" w:rsidRDefault="004E2008" w:rsidP="004E2008"/>
    <w:p w:rsidR="004E2008" w:rsidRDefault="004E2008" w:rsidP="004E2008">
      <w:r>
        <w:t>In the interview we discussed with Jonathan the need to make improvements / focus attention as follows:</w:t>
      </w:r>
    </w:p>
    <w:p w:rsidR="004E2008" w:rsidRDefault="004E2008" w:rsidP="004E2008"/>
    <w:p w:rsidR="004E2008" w:rsidRPr="006815E4" w:rsidRDefault="004E2008" w:rsidP="004E2008">
      <w:pPr>
        <w:rPr>
          <w:b/>
        </w:rPr>
      </w:pPr>
      <w:r w:rsidRPr="006815E4">
        <w:rPr>
          <w:b/>
        </w:rPr>
        <w:t>Methodology</w:t>
      </w:r>
    </w:p>
    <w:p w:rsidR="004E2008" w:rsidRDefault="004E2008" w:rsidP="004E2008"/>
    <w:p w:rsidR="004E2008" w:rsidRDefault="004E2008" w:rsidP="004E2008">
      <w:r>
        <w:t>Jonathan is aware that he needs to establish a clear methodological approach to the thesis at the earliest opportunity, in order to have a coherent and rigorous theoretical basis upon which to conduct analyses of the plays he has sourced. In the course of the discussion the following areas were identified as in need of clarification / development:</w:t>
      </w:r>
    </w:p>
    <w:p w:rsidR="004E2008" w:rsidRDefault="004E2008" w:rsidP="004E2008">
      <w:pPr>
        <w:ind w:left="480"/>
      </w:pPr>
    </w:p>
    <w:p w:rsidR="004E2008" w:rsidRPr="006815E4" w:rsidRDefault="004E2008" w:rsidP="004E2008">
      <w:pPr>
        <w:rPr>
          <w:u w:val="single"/>
        </w:rPr>
      </w:pPr>
      <w:r>
        <w:rPr>
          <w:u w:val="single"/>
        </w:rPr>
        <w:t>1. Feminisms / f</w:t>
      </w:r>
      <w:r w:rsidRPr="006815E4">
        <w:rPr>
          <w:u w:val="single"/>
        </w:rPr>
        <w:t>eminist theory</w:t>
      </w:r>
    </w:p>
    <w:p w:rsidR="004E2008" w:rsidRDefault="004E2008" w:rsidP="004E2008"/>
    <w:p w:rsidR="004E2008" w:rsidRDefault="004E2008" w:rsidP="004E2008">
      <w:r>
        <w:t xml:space="preserve">As noted above, the engagement with feminist theory in the chapter presented was felt to be rather unfocussed and superficial. In conversation it became clear that Jonathan was keen to position his argument with respect to feminist theory in a number of ways, however, and had developed cogent ideas about these in general terms. His future research needs to establish a thoroughgoing feminist argumentation, so that he can position himself clearly in relation to it. In the discussion the following suggestions were made: </w:t>
      </w:r>
    </w:p>
    <w:p w:rsidR="004E2008" w:rsidRDefault="004E2008" w:rsidP="004E2008"/>
    <w:p w:rsidR="004E2008" w:rsidRDefault="004E2008" w:rsidP="004E2008">
      <w:pPr>
        <w:numPr>
          <w:ilvl w:val="0"/>
          <w:numId w:val="1"/>
        </w:numPr>
      </w:pPr>
      <w:r>
        <w:t xml:space="preserve">Jonathan should engage clearly and explicitly with early modern feminist argumentation by looking at the work of those feminists who have sought to apply feminist theory to the early modern period over the last 30 years. In particular, Jonathan needs to address the question of how this kind of feminism may be and has been applied to female-authored works that cannot be described as feminist in any modern sense of the term. We discussed how women writers who are apparently conservative in both form and content may nevertheless find ways of writing against mainstream, male-authored discourse via </w:t>
      </w:r>
      <w:proofErr w:type="spellStart"/>
      <w:r>
        <w:t>paratextual</w:t>
      </w:r>
      <w:proofErr w:type="spellEnd"/>
      <w:r>
        <w:t xml:space="preserve"> material as well as via particular subtle emphases given in the body of texts themselves.</w:t>
      </w:r>
    </w:p>
    <w:p w:rsidR="004E2008" w:rsidRDefault="004E2008" w:rsidP="004E2008">
      <w:pPr>
        <w:numPr>
          <w:ilvl w:val="0"/>
          <w:numId w:val="1"/>
        </w:numPr>
      </w:pPr>
      <w:r>
        <w:t>Jonathan should acquire a firmer knowledge of female authorship in other genres in the period he is considering (the novel, the letter, the fairy tale) and of the way this writing has been critically assessed from a feminist standpoint.</w:t>
      </w:r>
    </w:p>
    <w:p w:rsidR="004E2008" w:rsidRDefault="004E2008" w:rsidP="004E2008">
      <w:pPr>
        <w:numPr>
          <w:ilvl w:val="0"/>
          <w:numId w:val="1"/>
        </w:numPr>
      </w:pPr>
      <w:r>
        <w:t xml:space="preserve">Jonathan should also engage theoretically with the broader question of why it may be desirable to rehabilitate female-authored texts at all. In the discussion very interesting questions about the canon emerged (are </w:t>
      </w:r>
      <w:r>
        <w:lastRenderedPageBreak/>
        <w:t>women excluded solely on the basis of gender? Do other cultural and social issues play their part? How does female-authored material in the period under study compare with male-authored material that was written at the margins and not incorporated into the canon?) We felt these questions could fruitfully be pursued.</w:t>
      </w:r>
    </w:p>
    <w:p w:rsidR="004E2008" w:rsidRDefault="004E2008" w:rsidP="004E2008">
      <w:pPr>
        <w:numPr>
          <w:ilvl w:val="0"/>
          <w:numId w:val="1"/>
        </w:numPr>
      </w:pPr>
      <w:r>
        <w:t>Jonathan has commenced some comparative work that examines French 17</w:t>
      </w:r>
      <w:r w:rsidRPr="005709A4">
        <w:rPr>
          <w:vertAlign w:val="superscript"/>
        </w:rPr>
        <w:t>th</w:t>
      </w:r>
      <w:r>
        <w:t xml:space="preserve"> C female-authored theatre in relation to its European counterparts, which have been the subject of quite wide ranging feminist critical attention. A potentially quite original argument began to emerge in discussion about the reasons for the lack of similar critical focus upon French female-authored theatre. The importance of aesthetics and form in French theatre in this period was felt by Jonathan to cause female playwrights to write with a different emphasis: one requiring an alternative analytical model to the feminist model applied in the case of European theatre. Such a claim needs substantiating via a thorough survey of the different early modern feminist standpoints outlined above.</w:t>
      </w:r>
    </w:p>
    <w:p w:rsidR="004E2008" w:rsidRPr="00DF3277" w:rsidRDefault="004E2008" w:rsidP="004E2008">
      <w:pPr>
        <w:rPr>
          <w:u w:val="single"/>
        </w:rPr>
      </w:pPr>
    </w:p>
    <w:p w:rsidR="004E2008" w:rsidRPr="00DF3277" w:rsidRDefault="004E2008" w:rsidP="004E2008">
      <w:pPr>
        <w:rPr>
          <w:u w:val="single"/>
        </w:rPr>
      </w:pPr>
      <w:r w:rsidRPr="00DF3277">
        <w:rPr>
          <w:u w:val="single"/>
        </w:rPr>
        <w:t>2. Aesthetics</w:t>
      </w:r>
    </w:p>
    <w:p w:rsidR="004E2008" w:rsidRDefault="004E2008" w:rsidP="004E2008"/>
    <w:p w:rsidR="004E2008" w:rsidRDefault="004E2008" w:rsidP="004E2008">
      <w:r>
        <w:t>Whilst Jonathan was keen to assert that the impact of the Rules on French female playwrights was more significant than that of gender, we felt that the two areas might fruitfully be combined if further consideration were given to the idea of aesthetics as cultural currency (mainstream, male), the use of which by female playwrights may of itself raise interesting questions. More work needs to be done on questions of form and aesthetics in general terms:</w:t>
      </w:r>
    </w:p>
    <w:p w:rsidR="004E2008" w:rsidRDefault="004E2008" w:rsidP="004E2008"/>
    <w:p w:rsidR="004E2008" w:rsidRDefault="004E2008" w:rsidP="004E2008">
      <w:pPr>
        <w:numPr>
          <w:ilvl w:val="0"/>
          <w:numId w:val="2"/>
        </w:numPr>
      </w:pPr>
      <w:r>
        <w:t xml:space="preserve">How do the emerging rules relate to the forms Jonathan touches on in his chapter (farce and the one act play in particular)? Might the employment of these forms constitute writing against the mainstream? To what extent do female playwrights employ unconventional </w:t>
      </w:r>
      <w:proofErr w:type="gramStart"/>
      <w:r>
        <w:t>forms,</w:t>
      </w:r>
      <w:proofErr w:type="gramEnd"/>
      <w:r>
        <w:t xml:space="preserve"> or traditional forms unconventionally?</w:t>
      </w:r>
    </w:p>
    <w:p w:rsidR="004E2008" w:rsidRDefault="004E2008" w:rsidP="004E2008"/>
    <w:p w:rsidR="004E2008" w:rsidRDefault="004E2008" w:rsidP="004E2008">
      <w:r>
        <w:t>More specifically, Jonathan could explore the language of the Rules and the debates surrounding them: are these gendered (do texts that adhere to the Rules use a ‘male’ language of reason / order; are hybrid, baroque or otherwise unsatisfactory forms conceived in ‘female’ terms of irrationality / the monstrous?)</w:t>
      </w:r>
    </w:p>
    <w:p w:rsidR="004E2008" w:rsidRDefault="004E2008" w:rsidP="004E2008"/>
    <w:p w:rsidR="004E2008" w:rsidRPr="00424FE1" w:rsidRDefault="004E2008" w:rsidP="004E2008">
      <w:pPr>
        <w:rPr>
          <w:u w:val="single"/>
        </w:rPr>
      </w:pPr>
      <w:r w:rsidRPr="00424FE1">
        <w:rPr>
          <w:u w:val="single"/>
        </w:rPr>
        <w:t xml:space="preserve">3. Geography </w:t>
      </w:r>
    </w:p>
    <w:p w:rsidR="004E2008" w:rsidRDefault="004E2008" w:rsidP="004E2008"/>
    <w:p w:rsidR="004E2008" w:rsidRDefault="004E2008" w:rsidP="004E2008">
      <w:r>
        <w:t xml:space="preserve">In the chapter submitted it was argued that Françoise Pascal was at her most innovative and potentially most influential whilst in </w:t>
      </w:r>
      <w:smartTag w:uri="urn:schemas-microsoft-com:office:smarttags" w:element="place">
        <w:r>
          <w:t>Lyon</w:t>
        </w:r>
      </w:smartTag>
      <w:r>
        <w:t xml:space="preserve">. In our discussion the question of whether any clear differences in writing between </w:t>
      </w:r>
      <w:smartTag w:uri="urn:schemas-microsoft-com:office:smarttags" w:element="place">
        <w:smartTag w:uri="urn:schemas-microsoft-com:office:smarttags" w:element="City">
          <w:r>
            <w:t>Paris</w:t>
          </w:r>
        </w:smartTag>
      </w:smartTag>
      <w:r>
        <w:t xml:space="preserve"> and the provinces emerged in this period, and whether this could be linked with the application of the Rules. We felt that the question of place might fruitfully be incorporated into an analysis of the texts chosen for study, particularly given Jonathan’s desire to address both formal considerations and the question of writing communities and </w:t>
      </w:r>
      <w:proofErr w:type="spellStart"/>
      <w:r>
        <w:t>intertextuality</w:t>
      </w:r>
      <w:proofErr w:type="spellEnd"/>
      <w:r>
        <w:t xml:space="preserve"> in his work. </w:t>
      </w:r>
    </w:p>
    <w:p w:rsidR="004E2008" w:rsidRDefault="004E2008" w:rsidP="004E2008"/>
    <w:p w:rsidR="004E2008" w:rsidRDefault="004E2008" w:rsidP="004E2008"/>
    <w:p w:rsidR="004E2008" w:rsidRPr="00F85D26" w:rsidRDefault="004E2008" w:rsidP="004E2008">
      <w:pPr>
        <w:rPr>
          <w:b/>
          <w:i/>
        </w:rPr>
      </w:pPr>
      <w:r>
        <w:rPr>
          <w:b/>
          <w:i/>
        </w:rPr>
        <w:t>Recommendations</w:t>
      </w:r>
    </w:p>
    <w:p w:rsidR="004E2008" w:rsidRDefault="004E2008" w:rsidP="004E2008"/>
    <w:p w:rsidR="004E2008" w:rsidRDefault="004E2008" w:rsidP="004E2008">
      <w:pPr>
        <w:numPr>
          <w:ilvl w:val="0"/>
          <w:numId w:val="2"/>
        </w:numPr>
      </w:pPr>
      <w:r>
        <w:t>With a clear methodological framework, which Jonathan has clearly begun to conceive but which has not yet appeared on paper, we were convinced that a cogent and original analysis can emerge, and it is therefore crucial that the methodology is clearly established at this stage.</w:t>
      </w:r>
    </w:p>
    <w:p w:rsidR="004E2008" w:rsidRDefault="004E2008" w:rsidP="004E2008">
      <w:pPr>
        <w:numPr>
          <w:ilvl w:val="0"/>
          <w:numId w:val="2"/>
        </w:numPr>
      </w:pPr>
      <w:r>
        <w:t xml:space="preserve">Given Jonathan’s interest in aesthetics, it may be that this area will warrant a chapter in itself, and the </w:t>
      </w:r>
      <w:proofErr w:type="spellStart"/>
      <w:r>
        <w:t>organisation</w:t>
      </w:r>
      <w:proofErr w:type="spellEnd"/>
      <w:r>
        <w:t xml:space="preserve"> of chapters may therefore change from that indicated. </w:t>
      </w:r>
    </w:p>
    <w:p w:rsidR="004E2008" w:rsidRDefault="004E2008" w:rsidP="004E2008">
      <w:pPr>
        <w:numPr>
          <w:ilvl w:val="0"/>
          <w:numId w:val="2"/>
        </w:numPr>
      </w:pPr>
      <w:r>
        <w:t xml:space="preserve">Given the importance of reading the primary material through the lens of the formal and theoretical questions outlined above, we felt it important to review Jonathan’s introductory chapter at the end of the summer in an informal interview and will set a date for this at the beginning of the Autumn term.  </w:t>
      </w:r>
    </w:p>
    <w:p w:rsidR="004E2008" w:rsidRDefault="004E2008" w:rsidP="004E2008"/>
    <w:p w:rsidR="004E2008" w:rsidRPr="000B7E5C" w:rsidRDefault="004E2008" w:rsidP="004E2008">
      <w:pPr>
        <w:rPr>
          <w:b/>
          <w:sz w:val="28"/>
          <w:szCs w:val="28"/>
        </w:rPr>
      </w:pPr>
      <w:r>
        <w:br w:type="page"/>
      </w:r>
      <w:r w:rsidRPr="000B7E5C">
        <w:rPr>
          <w:b/>
          <w:sz w:val="28"/>
          <w:szCs w:val="28"/>
        </w:rPr>
        <w:lastRenderedPageBreak/>
        <w:t xml:space="preserve">Some recommendations for reading: </w:t>
      </w:r>
    </w:p>
    <w:p w:rsidR="004E2008" w:rsidRPr="00287427" w:rsidRDefault="004E2008" w:rsidP="004E2008">
      <w:pPr>
        <w:rPr>
          <w:b/>
          <w:i/>
        </w:rPr>
      </w:pPr>
    </w:p>
    <w:p w:rsidR="004E2008" w:rsidRDefault="004E2008" w:rsidP="004E2008"/>
    <w:p w:rsidR="004E2008" w:rsidRDefault="004E2008" w:rsidP="004E2008">
      <w:proofErr w:type="spellStart"/>
      <w:r>
        <w:t>Servanne</w:t>
      </w:r>
      <w:proofErr w:type="spellEnd"/>
      <w:r>
        <w:t xml:space="preserve"> Woodward (</w:t>
      </w:r>
      <w:proofErr w:type="spellStart"/>
      <w:proofErr w:type="gramStart"/>
      <w:r>
        <w:t>ed</w:t>
      </w:r>
      <w:proofErr w:type="spellEnd"/>
      <w:proofErr w:type="gramEnd"/>
      <w:r>
        <w:t xml:space="preserve">), </w:t>
      </w:r>
      <w:r>
        <w:rPr>
          <w:i/>
        </w:rPr>
        <w:t>Altered writings</w:t>
      </w:r>
      <w:r>
        <w:t xml:space="preserve"> followed by </w:t>
      </w:r>
      <w:r>
        <w:rPr>
          <w:i/>
        </w:rPr>
        <w:t>Public Space of the Domestic Sphere</w:t>
      </w:r>
      <w:r>
        <w:t xml:space="preserve"> (London, Canada: </w:t>
      </w:r>
      <w:proofErr w:type="spellStart"/>
      <w:r>
        <w:t>Mestengo</w:t>
      </w:r>
      <w:proofErr w:type="spellEnd"/>
      <w:r>
        <w:t xml:space="preserve"> Press, 1997)</w:t>
      </w:r>
    </w:p>
    <w:p w:rsidR="004E2008" w:rsidRDefault="004E2008" w:rsidP="004E2008">
      <w:r>
        <w:t xml:space="preserve">Explores male and female literary agendas in the 18thc, but also female treatment of male lit works or themes in lit (e.g. the idea of the </w:t>
      </w:r>
      <w:r w:rsidRPr="00F34884">
        <w:rPr>
          <w:i/>
        </w:rPr>
        <w:t>philosophe</w:t>
      </w:r>
      <w:r>
        <w:t>)</w:t>
      </w:r>
    </w:p>
    <w:p w:rsidR="004E2008" w:rsidRDefault="004E2008" w:rsidP="004E2008"/>
    <w:p w:rsidR="004E2008" w:rsidRDefault="004E2008" w:rsidP="004E2008">
      <w:r>
        <w:t xml:space="preserve">See Karen E. Carter, ‘Les </w:t>
      </w:r>
      <w:proofErr w:type="spellStart"/>
      <w:r>
        <w:t>garçons</w:t>
      </w:r>
      <w:proofErr w:type="spellEnd"/>
      <w:r>
        <w:t xml:space="preserve"> et les </w:t>
      </w:r>
      <w:proofErr w:type="spellStart"/>
      <w:r>
        <w:t>filles</w:t>
      </w:r>
      <w:proofErr w:type="spellEnd"/>
      <w:r>
        <w:t xml:space="preserve"> </w:t>
      </w:r>
      <w:proofErr w:type="spellStart"/>
      <w:r>
        <w:t>dont</w:t>
      </w:r>
      <w:proofErr w:type="spellEnd"/>
      <w:r>
        <w:t xml:space="preserve"> </w:t>
      </w:r>
      <w:proofErr w:type="spellStart"/>
      <w:r>
        <w:t>pêle-mêle</w:t>
      </w:r>
      <w:proofErr w:type="spellEnd"/>
      <w:r>
        <w:t xml:space="preserve"> </w:t>
      </w:r>
      <w:proofErr w:type="spellStart"/>
      <w:r>
        <w:t>dans</w:t>
      </w:r>
      <w:proofErr w:type="spellEnd"/>
      <w:r>
        <w:t xml:space="preserve"> </w:t>
      </w:r>
      <w:proofErr w:type="spellStart"/>
      <w:r>
        <w:t>l’école</w:t>
      </w:r>
      <w:proofErr w:type="spellEnd"/>
      <w:r>
        <w:t xml:space="preserve">’: gender and primary education in early modern </w:t>
      </w:r>
      <w:smartTag w:uri="urn:schemas-microsoft-com:office:smarttags" w:element="place">
        <w:smartTag w:uri="urn:schemas-microsoft-com:office:smarttags" w:element="country-region">
          <w:r>
            <w:t>France</w:t>
          </w:r>
        </w:smartTag>
      </w:smartTag>
      <w:r>
        <w:t xml:space="preserve">’, </w:t>
      </w:r>
      <w:r>
        <w:rPr>
          <w:i/>
        </w:rPr>
        <w:t>French Historical Studies</w:t>
      </w:r>
      <w:r>
        <w:t xml:space="preserve"> 31.3 (Summer 2008), 417-33</w:t>
      </w:r>
    </w:p>
    <w:p w:rsidR="004E2008" w:rsidRDefault="004E2008" w:rsidP="004E2008"/>
    <w:p w:rsidR="004E2008" w:rsidRDefault="004E2008" w:rsidP="004E2008">
      <w:proofErr w:type="gramStart"/>
      <w:r>
        <w:t xml:space="preserve">Patricia </w:t>
      </w:r>
      <w:proofErr w:type="spellStart"/>
      <w:r>
        <w:t>Cholakian</w:t>
      </w:r>
      <w:proofErr w:type="spellEnd"/>
      <w:r>
        <w:t xml:space="preserve">, </w:t>
      </w:r>
      <w:r w:rsidRPr="00D73065">
        <w:rPr>
          <w:i/>
        </w:rPr>
        <w:t xml:space="preserve">Women and the Politics of Self-representation in Seventeenth-Century </w:t>
      </w:r>
      <w:smartTag w:uri="urn:schemas-microsoft-com:office:smarttags" w:element="place">
        <w:smartTag w:uri="urn:schemas-microsoft-com:office:smarttags" w:element="country-region">
          <w:r w:rsidRPr="00D73065">
            <w:rPr>
              <w:i/>
            </w:rPr>
            <w:t>France</w:t>
          </w:r>
        </w:smartTag>
      </w:smartTag>
      <w:r>
        <w:t xml:space="preserve"> (2000).</w:t>
      </w:r>
      <w:proofErr w:type="gramEnd"/>
      <w:r>
        <w:t xml:space="preserve"> Intro </w:t>
      </w:r>
      <w:proofErr w:type="spellStart"/>
      <w:r>
        <w:t>chpt</w:t>
      </w:r>
      <w:proofErr w:type="spellEnd"/>
      <w:r>
        <w:t xml:space="preserve"> is a must read!</w:t>
      </w:r>
    </w:p>
    <w:p w:rsidR="004E2008" w:rsidRDefault="004E2008" w:rsidP="004E2008"/>
    <w:p w:rsidR="004E2008" w:rsidRDefault="004E2008" w:rsidP="004E2008">
      <w:r>
        <w:t xml:space="preserve">Julia </w:t>
      </w:r>
      <w:proofErr w:type="spellStart"/>
      <w:r>
        <w:t>Douthwaite</w:t>
      </w:r>
      <w:proofErr w:type="spellEnd"/>
      <w:r>
        <w:t xml:space="preserve">, </w:t>
      </w:r>
      <w:r>
        <w:rPr>
          <w:i/>
        </w:rPr>
        <w:t xml:space="preserve">Exotic women: literary heroines and cultural strategies in </w:t>
      </w:r>
      <w:proofErr w:type="spellStart"/>
      <w:r>
        <w:rPr>
          <w:i/>
        </w:rPr>
        <w:t>ancien</w:t>
      </w:r>
      <w:proofErr w:type="spellEnd"/>
      <w:r>
        <w:rPr>
          <w:i/>
        </w:rPr>
        <w:t xml:space="preserve"> régime </w:t>
      </w:r>
      <w:smartTag w:uri="urn:schemas-microsoft-com:office:smarttags" w:element="place">
        <w:smartTag w:uri="urn:schemas-microsoft-com:office:smarttags" w:element="country-region">
          <w:r>
            <w:rPr>
              <w:i/>
            </w:rPr>
            <w:t>France</w:t>
          </w:r>
        </w:smartTag>
      </w:smartTag>
      <w:r>
        <w:t xml:space="preserve">, </w:t>
      </w:r>
      <w:r>
        <w:rPr>
          <w:i/>
        </w:rPr>
        <w:t>Eighteenth- century studies</w:t>
      </w:r>
      <w:r>
        <w:t>, 28.1 (</w:t>
      </w:r>
      <w:proofErr w:type="gramStart"/>
      <w:r>
        <w:t>Autumn</w:t>
      </w:r>
      <w:proofErr w:type="gramEnd"/>
      <w:r>
        <w:t xml:space="preserve"> 1994), (review of)</w:t>
      </w:r>
    </w:p>
    <w:p w:rsidR="004E2008" w:rsidRDefault="004E2008" w:rsidP="004E2008"/>
    <w:p w:rsidR="004E2008" w:rsidRPr="00E12D4A" w:rsidRDefault="004E2008" w:rsidP="004E2008">
      <w:pPr>
        <w:rPr>
          <w:i/>
        </w:rPr>
      </w:pPr>
      <w:r>
        <w:t xml:space="preserve">Merry </w:t>
      </w:r>
      <w:proofErr w:type="spellStart"/>
      <w:r>
        <w:t>Wiesner</w:t>
      </w:r>
      <w:proofErr w:type="spellEnd"/>
      <w:r>
        <w:t xml:space="preserve">, </w:t>
      </w:r>
      <w:r>
        <w:rPr>
          <w:i/>
        </w:rPr>
        <w:t xml:space="preserve">Women and Gender in early modern </w:t>
      </w:r>
      <w:smartTag w:uri="urn:schemas-microsoft-com:office:smarttags" w:element="place">
        <w:smartTag w:uri="urn:schemas-microsoft-com:office:smarttags" w:element="country-region">
          <w:r>
            <w:rPr>
              <w:i/>
            </w:rPr>
            <w:t>France</w:t>
          </w:r>
        </w:smartTag>
      </w:smartTag>
      <w:r>
        <w:rPr>
          <w:i/>
        </w:rPr>
        <w:t xml:space="preserve"> </w:t>
      </w:r>
      <w:r>
        <w:t>(CUP 1993)</w:t>
      </w:r>
      <w:r>
        <w:rPr>
          <w:i/>
        </w:rPr>
        <w:t xml:space="preserve"> </w:t>
      </w:r>
    </w:p>
    <w:p w:rsidR="004E2008" w:rsidRDefault="004E2008" w:rsidP="004E2008"/>
    <w:p w:rsidR="004E2008" w:rsidRDefault="004E2008" w:rsidP="004E2008">
      <w:r>
        <w:t xml:space="preserve">Ideas about the ‘masculinization of the public </w:t>
      </w:r>
      <w:proofErr w:type="gramStart"/>
      <w:r>
        <w:t>sphere’,</w:t>
      </w:r>
      <w:proofErr w:type="gramEnd"/>
      <w:r>
        <w:t xml:space="preserve"> see:</w:t>
      </w:r>
    </w:p>
    <w:p w:rsidR="004E2008" w:rsidRPr="005A3674" w:rsidRDefault="004E2008" w:rsidP="004E2008">
      <w:r>
        <w:t xml:space="preserve">Dena Goodman, </w:t>
      </w:r>
      <w:r>
        <w:rPr>
          <w:i/>
        </w:rPr>
        <w:t xml:space="preserve">The </w:t>
      </w:r>
      <w:smartTag w:uri="urn:schemas-microsoft-com:office:smarttags" w:element="place">
        <w:smartTag w:uri="urn:schemas-microsoft-com:office:smarttags" w:element="PlaceType">
          <w:r>
            <w:rPr>
              <w:i/>
            </w:rPr>
            <w:t>Republic</w:t>
          </w:r>
        </w:smartTag>
        <w:r>
          <w:rPr>
            <w:i/>
          </w:rPr>
          <w:t xml:space="preserve"> of </w:t>
        </w:r>
        <w:smartTag w:uri="urn:schemas-microsoft-com:office:smarttags" w:element="PlaceName">
          <w:r>
            <w:rPr>
              <w:i/>
            </w:rPr>
            <w:t>Letters</w:t>
          </w:r>
        </w:smartTag>
      </w:smartTag>
      <w:r>
        <w:rPr>
          <w:i/>
        </w:rPr>
        <w:t xml:space="preserve">: A Cultural History of the French </w:t>
      </w:r>
      <w:proofErr w:type="gramStart"/>
      <w:r>
        <w:rPr>
          <w:i/>
        </w:rPr>
        <w:t xml:space="preserve">Enlightenment </w:t>
      </w:r>
      <w:r>
        <w:t xml:space="preserve"> (</w:t>
      </w:r>
      <w:proofErr w:type="gramEnd"/>
      <w:r>
        <w:t>Ithaca: Cornell University Press, 1994).</w:t>
      </w:r>
    </w:p>
    <w:p w:rsidR="004E2008" w:rsidRDefault="004E2008" w:rsidP="004E2008"/>
    <w:p w:rsidR="004E2008" w:rsidRPr="00F34884" w:rsidRDefault="004E2008" w:rsidP="004E2008">
      <w:pPr>
        <w:rPr>
          <w:i/>
        </w:rPr>
      </w:pPr>
      <w:r w:rsidRPr="00F34884">
        <w:rPr>
          <w:i/>
        </w:rPr>
        <w:t>Feminist readings of history:</w:t>
      </w:r>
    </w:p>
    <w:p w:rsidR="004E2008" w:rsidRDefault="004E2008" w:rsidP="004E2008">
      <w:r>
        <w:t xml:space="preserve">Joan Wallach Scott, ‘Introduction’, </w:t>
      </w:r>
      <w:r>
        <w:rPr>
          <w:i/>
        </w:rPr>
        <w:t xml:space="preserve">Gender and the politics of history </w:t>
      </w:r>
      <w:r>
        <w:t>(</w:t>
      </w:r>
      <w:smartTag w:uri="urn:schemas-microsoft-com:office:smarttags" w:element="place">
        <w:smartTag w:uri="urn:schemas-microsoft-com:office:smarttags" w:element="State">
          <w:r>
            <w:t>New York</w:t>
          </w:r>
        </w:smartTag>
      </w:smartTag>
      <w:r>
        <w:t xml:space="preserve"> 1988) - gender defined as ‘the knowledge that establishes meanings for bodily difference’</w:t>
      </w:r>
    </w:p>
    <w:p w:rsidR="004E2008" w:rsidRPr="00943F85" w:rsidRDefault="004E2008" w:rsidP="004E2008">
      <w:r>
        <w:t xml:space="preserve">Judith Bennett, ‘Feminism and history’, </w:t>
      </w:r>
      <w:r>
        <w:rPr>
          <w:i/>
        </w:rPr>
        <w:t>Gender and history</w:t>
      </w:r>
      <w:r>
        <w:t xml:space="preserve"> 1 (1989), pp. 251-72</w:t>
      </w:r>
    </w:p>
    <w:p w:rsidR="004E2008" w:rsidRDefault="004E2008" w:rsidP="004E2008"/>
    <w:p w:rsidR="004E2008" w:rsidRDefault="004E2008" w:rsidP="004E2008">
      <w:r>
        <w:t>Evelyn Gordon Beck, ‘</w:t>
      </w:r>
      <w:proofErr w:type="spellStart"/>
      <w:r>
        <w:t>Salonières</w:t>
      </w:r>
      <w:proofErr w:type="spellEnd"/>
      <w:r>
        <w:t xml:space="preserve"> and bluestockings: educated obsolescence and germinating feminism’, </w:t>
      </w:r>
      <w:r>
        <w:rPr>
          <w:i/>
        </w:rPr>
        <w:t>Feminist studies</w:t>
      </w:r>
      <w:r>
        <w:t xml:space="preserve"> </w:t>
      </w:r>
      <w:proofErr w:type="gramStart"/>
      <w:r>
        <w:t>3 ,</w:t>
      </w:r>
      <w:proofErr w:type="gramEnd"/>
      <w:r>
        <w:t xml:space="preserve"> no.3-4 (summer 1976)</w:t>
      </w:r>
    </w:p>
    <w:p w:rsidR="004E2008" w:rsidRDefault="004E2008" w:rsidP="004E2008"/>
    <w:p w:rsidR="004E2008" w:rsidRPr="00D73065" w:rsidRDefault="004E2008" w:rsidP="004E2008">
      <w:pPr>
        <w:rPr>
          <w:i/>
        </w:rPr>
      </w:pPr>
      <w:r>
        <w:t xml:space="preserve">Erica </w:t>
      </w:r>
      <w:proofErr w:type="spellStart"/>
      <w:r>
        <w:t>Harth</w:t>
      </w:r>
      <w:proofErr w:type="spellEnd"/>
      <w:r>
        <w:t xml:space="preserve">, </w:t>
      </w:r>
      <w:r w:rsidRPr="00D73065">
        <w:rPr>
          <w:i/>
        </w:rPr>
        <w:t>Cartesian Women</w:t>
      </w:r>
    </w:p>
    <w:p w:rsidR="004E2008" w:rsidRDefault="004E2008" w:rsidP="004E2008"/>
    <w:p w:rsidR="004E2008" w:rsidRDefault="004E2008" w:rsidP="004E2008">
      <w:proofErr w:type="gramStart"/>
      <w:r>
        <w:t>Anne Larsen; Colette Winn (both v good in all areas of early modern feminism).</w:t>
      </w:r>
      <w:proofErr w:type="gramEnd"/>
      <w:r>
        <w:t xml:space="preserve"> See </w:t>
      </w:r>
      <w:proofErr w:type="spellStart"/>
      <w:proofErr w:type="gramStart"/>
      <w:r>
        <w:t>esp</w:t>
      </w:r>
      <w:proofErr w:type="spellEnd"/>
      <w:proofErr w:type="gramEnd"/>
      <w:r>
        <w:t xml:space="preserve">: </w:t>
      </w:r>
      <w:r w:rsidRPr="00D73065">
        <w:rPr>
          <w:i/>
        </w:rPr>
        <w:t>Renaissance Women Writers: French Texts, American Contexts</w:t>
      </w:r>
      <w:r>
        <w:t xml:space="preserve"> (1994)</w:t>
      </w:r>
    </w:p>
    <w:p w:rsidR="004E2008" w:rsidRDefault="004E2008" w:rsidP="004E2008"/>
    <w:p w:rsidR="004E2008" w:rsidRPr="00D97862" w:rsidRDefault="004E2008" w:rsidP="004E2008">
      <w:r>
        <w:t xml:space="preserve">Faith Beasley, </w:t>
      </w:r>
      <w:r w:rsidRPr="00D73065">
        <w:rPr>
          <w:i/>
        </w:rPr>
        <w:t xml:space="preserve">Salons, history and the Creation of Seventeenth-Century </w:t>
      </w:r>
      <w:smartTag w:uri="urn:schemas-microsoft-com:office:smarttags" w:element="place">
        <w:smartTag w:uri="urn:schemas-microsoft-com:office:smarttags" w:element="country-region">
          <w:r w:rsidRPr="00D73065">
            <w:rPr>
              <w:i/>
            </w:rPr>
            <w:t>France</w:t>
          </w:r>
        </w:smartTag>
      </w:smartTag>
      <w:r>
        <w:t xml:space="preserve"> (2006) </w:t>
      </w:r>
    </w:p>
    <w:p w:rsidR="004E2008" w:rsidRDefault="004E2008" w:rsidP="004E2008"/>
    <w:p w:rsidR="004E2008" w:rsidRDefault="004E2008" w:rsidP="004E2008">
      <w:r>
        <w:t xml:space="preserve">Joan Kelly, </w:t>
      </w:r>
      <w:r w:rsidRPr="00D73065">
        <w:rPr>
          <w:i/>
        </w:rPr>
        <w:t>Women, History and Theory</w:t>
      </w:r>
      <w:r>
        <w:t xml:space="preserve"> (1984)</w:t>
      </w:r>
    </w:p>
    <w:p w:rsidR="004E2008" w:rsidRDefault="004E2008" w:rsidP="004E2008"/>
    <w:p w:rsidR="004E2008" w:rsidRDefault="004E2008" w:rsidP="004E2008">
      <w:r>
        <w:t xml:space="preserve">Natalie </w:t>
      </w:r>
      <w:proofErr w:type="spellStart"/>
      <w:r>
        <w:t>Zemon</w:t>
      </w:r>
      <w:proofErr w:type="spellEnd"/>
      <w:r>
        <w:t xml:space="preserve">-Davis, ‘Displacing and displeasing: writing about women in the Early Modern Period’, in </w:t>
      </w:r>
      <w:r w:rsidRPr="00D73065">
        <w:rPr>
          <w:i/>
        </w:rPr>
        <w:t>Attending to Women</w:t>
      </w:r>
      <w:r>
        <w:t xml:space="preserve"> (1998) </w:t>
      </w:r>
    </w:p>
    <w:p w:rsidR="004E2008" w:rsidRDefault="004E2008" w:rsidP="004E2008"/>
    <w:p w:rsidR="004E2008" w:rsidRDefault="004E2008" w:rsidP="004E2008">
      <w:r>
        <w:t xml:space="preserve">Elizabeth Goldsmith, </w:t>
      </w:r>
      <w:r w:rsidRPr="00D73065">
        <w:rPr>
          <w:i/>
        </w:rPr>
        <w:t xml:space="preserve">Going Public: Women and Publishing in Early Modern </w:t>
      </w:r>
      <w:smartTag w:uri="urn:schemas-microsoft-com:office:smarttags" w:element="place">
        <w:smartTag w:uri="urn:schemas-microsoft-com:office:smarttags" w:element="country-region">
          <w:r w:rsidRPr="00D73065">
            <w:rPr>
              <w:i/>
            </w:rPr>
            <w:t>France</w:t>
          </w:r>
        </w:smartTag>
      </w:smartTag>
      <w:r>
        <w:t xml:space="preserve"> (1995). </w:t>
      </w:r>
    </w:p>
    <w:p w:rsidR="004E2008" w:rsidRDefault="004E2008" w:rsidP="004E2008"/>
    <w:p w:rsidR="004E2008" w:rsidRPr="00DA28C9" w:rsidRDefault="004E2008" w:rsidP="004E2008"/>
    <w:p w:rsidR="004E2008" w:rsidRPr="00FE3976" w:rsidRDefault="004E2008" w:rsidP="004E2008">
      <w:pPr>
        <w:rPr>
          <w:b/>
        </w:rPr>
      </w:pPr>
      <w:r w:rsidRPr="00FE3976">
        <w:rPr>
          <w:b/>
        </w:rPr>
        <w:t>On aesthetics</w:t>
      </w:r>
    </w:p>
    <w:p w:rsidR="004E2008" w:rsidRDefault="004E2008" w:rsidP="004E2008"/>
    <w:p w:rsidR="004E2008" w:rsidRDefault="004E2008" w:rsidP="004E2008">
      <w:proofErr w:type="gramStart"/>
      <w:r>
        <w:t xml:space="preserve">The work of Sabine </w:t>
      </w:r>
      <w:proofErr w:type="spellStart"/>
      <w:r>
        <w:t>Chaouche</w:t>
      </w:r>
      <w:proofErr w:type="spellEnd"/>
      <w:r>
        <w:t>?</w:t>
      </w:r>
      <w:proofErr w:type="gramEnd"/>
    </w:p>
    <w:p w:rsidR="004E2008" w:rsidRDefault="004E2008" w:rsidP="004E2008"/>
    <w:p w:rsidR="004E2008" w:rsidRDefault="004E2008" w:rsidP="004E2008">
      <w:r>
        <w:t xml:space="preserve">Corneille’s </w:t>
      </w:r>
      <w:r w:rsidRPr="00D73065">
        <w:rPr>
          <w:i/>
        </w:rPr>
        <w:t>Writings on the Theatre</w:t>
      </w:r>
      <w:r>
        <w:t xml:space="preserve"> and associated criticism, </w:t>
      </w:r>
      <w:proofErr w:type="spellStart"/>
      <w:r>
        <w:t>ie</w:t>
      </w:r>
      <w:proofErr w:type="spellEnd"/>
      <w:r>
        <w:t>:</w:t>
      </w:r>
    </w:p>
    <w:p w:rsidR="004E2008" w:rsidRDefault="004E2008" w:rsidP="004E2008"/>
    <w:p w:rsidR="004E2008" w:rsidRDefault="004E2008" w:rsidP="004E2008">
      <w:r>
        <w:t xml:space="preserve">Claire Carlin, </w:t>
      </w:r>
      <w:r w:rsidRPr="00FE3976">
        <w:rPr>
          <w:i/>
        </w:rPr>
        <w:t xml:space="preserve">Women Reading Corneille: Feminist </w:t>
      </w:r>
      <w:proofErr w:type="spellStart"/>
      <w:r w:rsidRPr="00FE3976">
        <w:rPr>
          <w:i/>
        </w:rPr>
        <w:t>Psychocriticisms</w:t>
      </w:r>
      <w:proofErr w:type="spellEnd"/>
      <w:r w:rsidRPr="00FE3976">
        <w:rPr>
          <w:i/>
        </w:rPr>
        <w:t xml:space="preserve"> of Le Cid</w:t>
      </w:r>
      <w:r>
        <w:t xml:space="preserve"> </w:t>
      </w:r>
    </w:p>
    <w:p w:rsidR="004E2008" w:rsidRDefault="004E2008" w:rsidP="004E2008"/>
    <w:p w:rsidR="004E2008" w:rsidRDefault="004E2008" w:rsidP="004E2008">
      <w:r>
        <w:t xml:space="preserve">Mary-Jo </w:t>
      </w:r>
      <w:proofErr w:type="spellStart"/>
      <w:r>
        <w:t>Muratore</w:t>
      </w:r>
      <w:proofErr w:type="spellEnd"/>
      <w:r>
        <w:t xml:space="preserve">, </w:t>
      </w:r>
      <w:r w:rsidRPr="00FE3976">
        <w:rPr>
          <w:i/>
        </w:rPr>
        <w:t xml:space="preserve">Expirer au </w:t>
      </w:r>
      <w:proofErr w:type="spellStart"/>
      <w:r w:rsidRPr="00FE3976">
        <w:rPr>
          <w:i/>
        </w:rPr>
        <w:t>feminin</w:t>
      </w:r>
      <w:proofErr w:type="spellEnd"/>
      <w:r>
        <w:t xml:space="preserve"> (2003), with a good chapter on </w:t>
      </w:r>
      <w:proofErr w:type="spellStart"/>
      <w:r w:rsidRPr="00FE3976">
        <w:rPr>
          <w:i/>
        </w:rPr>
        <w:t>Rodogune</w:t>
      </w:r>
      <w:proofErr w:type="spellEnd"/>
      <w:r>
        <w:t xml:space="preserve"> that treats, amongst other things, </w:t>
      </w:r>
      <w:smartTag w:uri="urn:schemas-microsoft-com:office:smarttags" w:element="place">
        <w:r>
          <w:t>Richelieu</w:t>
        </w:r>
      </w:smartTag>
      <w:r>
        <w:t xml:space="preserve">, the </w:t>
      </w:r>
      <w:proofErr w:type="spellStart"/>
      <w:r>
        <w:t>Académie</w:t>
      </w:r>
      <w:proofErr w:type="spellEnd"/>
      <w:r>
        <w:t xml:space="preserve">, and aesthetics. </w:t>
      </w:r>
    </w:p>
    <w:p w:rsidR="004E2008" w:rsidRPr="00EF1DF5" w:rsidRDefault="004E2008" w:rsidP="004E2008"/>
    <w:p w:rsidR="004E2008" w:rsidRDefault="004E2008" w:rsidP="009960BF"/>
    <w:sectPr w:rsidR="004E2008" w:rsidSect="00CE06E5">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20002A87" w:usb1="80000000" w:usb2="00000008" w:usb3="00000000" w:csb0="000001FF" w:csb1="00000000"/>
  </w:font>
  <w:font w:name="MS Gothic">
    <w:altName w:val="ＭＳ ゴシック"/>
    <w:panose1 w:val="020B0609070205080204"/>
    <w:charset w:val="80"/>
    <w:family w:val="modern"/>
    <w:pitch w:val="fixed"/>
    <w:sig w:usb0="A00002BF" w:usb1="68C7FCFB" w:usb2="00000010" w:usb3="00000000" w:csb0="000200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890B57"/>
    <w:multiLevelType w:val="hybridMultilevel"/>
    <w:tmpl w:val="C8CCBD9E"/>
    <w:lvl w:ilvl="0" w:tplc="0809000B">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nsid w:val="2DEB568D"/>
    <w:multiLevelType w:val="hybridMultilevel"/>
    <w:tmpl w:val="6A829C6C"/>
    <w:lvl w:ilvl="0" w:tplc="0809000B">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oNotDisplayPageBoundaries/>
  <w:proofState w:spelling="clean" w:grammar="clean"/>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3B54"/>
    <w:rsid w:val="001E739B"/>
    <w:rsid w:val="004E2008"/>
    <w:rsid w:val="00813B54"/>
    <w:rsid w:val="009960BF"/>
    <w:rsid w:val="00CE06E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martTagType w:namespaceuri="urn:schemas-microsoft-com:office:smarttags" w:name="country-region"/>
  <w:smartTagType w:namespaceuri="urn:schemas-microsoft-com:office:smarttags" w:name="place"/>
  <w:smartTagType w:namespaceuri="urn:schemas-microsoft-com:office:smarttags" w:name="City"/>
  <w:smartTagType w:namespaceuri="urn:schemas-microsoft-com:office:smarttags" w:name="PlaceType"/>
  <w:smartTagType w:namespaceuri="urn:schemas-microsoft-com:office:smarttags" w:name="PlaceName"/>
  <w:smartTagType w:namespaceuri="urn:schemas-microsoft-com:office:smarttags" w:name="State"/>
  <w:shapeDefaults>
    <o:shapedefaults v:ext="edit" spidmax="1026"/>
    <o:shapelayout v:ext="edit">
      <o:idmap v:ext="edit" data="1"/>
    </o:shapelayout>
  </w:shapeDefaults>
  <w:decimalSymbol w:val="."/>
  <w:listSeparator w:val=","/>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9960BF"/>
    <w:rPr>
      <w:rFonts w:eastAsiaTheme="minorHAnsi"/>
      <w:sz w:val="22"/>
      <w:szCs w:val="22"/>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9960BF"/>
    <w:rPr>
      <w:rFonts w:eastAsiaTheme="minorHAnsi"/>
      <w:sz w:val="22"/>
      <w:szCs w:val="2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9</Pages>
  <Words>2956</Words>
  <Characters>16262</Characters>
  <Application>Microsoft Office Word</Application>
  <DocSecurity>0</DocSecurity>
  <Lines>135</Lines>
  <Paragraphs>38</Paragraphs>
  <ScaleCrop>false</ScaleCrop>
  <Company>University of Warwick</Company>
  <LinksUpToDate>false</LinksUpToDate>
  <CharactersWithSpaces>19180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 Blaney</dc:creator>
  <cp:lastModifiedBy>Cathy</cp:lastModifiedBy>
  <cp:revision>3</cp:revision>
  <dcterms:created xsi:type="dcterms:W3CDTF">2013-08-28T11:34:00Z</dcterms:created>
  <dcterms:modified xsi:type="dcterms:W3CDTF">2013-09-02T10:24:00Z</dcterms:modified>
</cp:coreProperties>
</file>