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880D4F" w14:textId="77777777" w:rsidR="00A539B2" w:rsidRPr="00E54CBF" w:rsidRDefault="006F313A" w:rsidP="00C33A21">
      <w:pPr>
        <w:spacing w:line="360" w:lineRule="auto"/>
        <w:jc w:val="center"/>
        <w:rPr>
          <w:rFonts w:ascii="Garamond" w:hAnsi="Garamond"/>
          <w:u w:val="single"/>
        </w:rPr>
      </w:pPr>
      <w:r w:rsidRPr="00E54CBF">
        <w:rPr>
          <w:rFonts w:ascii="Garamond" w:hAnsi="Garamond"/>
          <w:u w:val="single"/>
        </w:rPr>
        <w:t>Gender and Sexuality</w:t>
      </w:r>
    </w:p>
    <w:p w14:paraId="618495C9" w14:textId="77777777" w:rsidR="00260455" w:rsidRPr="00E54CBF" w:rsidRDefault="00260455" w:rsidP="00C33A21">
      <w:pPr>
        <w:spacing w:line="360" w:lineRule="auto"/>
        <w:rPr>
          <w:rFonts w:ascii="Garamond" w:hAnsi="Garamond"/>
        </w:rPr>
      </w:pPr>
    </w:p>
    <w:p w14:paraId="077354DD" w14:textId="06F78A62" w:rsidR="006F313A" w:rsidRPr="00E54CBF" w:rsidRDefault="00260455" w:rsidP="00C33A21">
      <w:pPr>
        <w:spacing w:line="360" w:lineRule="auto"/>
        <w:rPr>
          <w:rFonts w:ascii="Garamond" w:hAnsi="Garamond"/>
        </w:rPr>
      </w:pPr>
      <w:r w:rsidRPr="00E54CBF">
        <w:rPr>
          <w:rFonts w:ascii="Garamond" w:hAnsi="Garamond"/>
        </w:rPr>
        <w:t>[TITLE SLIDE]</w:t>
      </w:r>
    </w:p>
    <w:p w14:paraId="63B08BFE" w14:textId="77777777" w:rsidR="00260455" w:rsidRPr="00E54CBF" w:rsidRDefault="00260455" w:rsidP="00C33A21">
      <w:pPr>
        <w:spacing w:line="360" w:lineRule="auto"/>
        <w:rPr>
          <w:rFonts w:ascii="Garamond" w:hAnsi="Garamond"/>
        </w:rPr>
      </w:pPr>
    </w:p>
    <w:p w14:paraId="70692266" w14:textId="75ABE930" w:rsidR="00DD69CF" w:rsidRPr="00E54CBF" w:rsidRDefault="00DD69CF" w:rsidP="00C33A21">
      <w:pPr>
        <w:spacing w:line="360" w:lineRule="auto"/>
        <w:rPr>
          <w:rFonts w:ascii="Garamond" w:hAnsi="Garamond"/>
        </w:rPr>
      </w:pPr>
      <w:r w:rsidRPr="00E54CBF">
        <w:rPr>
          <w:rFonts w:ascii="Garamond" w:hAnsi="Garamond"/>
        </w:rPr>
        <w:t xml:space="preserve">We finished last week’s lecture by considering </w:t>
      </w:r>
      <w:r w:rsidR="005E0F7F" w:rsidRPr="00E54CBF">
        <w:rPr>
          <w:rFonts w:ascii="Garamond" w:hAnsi="Garamond"/>
        </w:rPr>
        <w:t>the femi</w:t>
      </w:r>
      <w:r w:rsidR="00E40806" w:rsidRPr="00E54CBF">
        <w:rPr>
          <w:rFonts w:ascii="Garamond" w:hAnsi="Garamond"/>
        </w:rPr>
        <w:t>nist response to psychoanalysis.</w:t>
      </w:r>
      <w:r w:rsidR="005E0F7F" w:rsidRPr="00E54CBF">
        <w:rPr>
          <w:rFonts w:ascii="Garamond" w:hAnsi="Garamond"/>
        </w:rPr>
        <w:t xml:space="preserve"> </w:t>
      </w:r>
      <w:r w:rsidR="00E40806" w:rsidRPr="00E54CBF">
        <w:rPr>
          <w:rFonts w:ascii="Garamond" w:hAnsi="Garamond"/>
        </w:rPr>
        <w:t xml:space="preserve">While </w:t>
      </w:r>
      <w:r w:rsidR="005E0F7F" w:rsidRPr="00E54CBF">
        <w:rPr>
          <w:rFonts w:ascii="Garamond" w:hAnsi="Garamond"/>
        </w:rPr>
        <w:t xml:space="preserve">some </w:t>
      </w:r>
      <w:r w:rsidR="00E40806" w:rsidRPr="00E54CBF">
        <w:rPr>
          <w:rFonts w:ascii="Garamond" w:hAnsi="Garamond"/>
        </w:rPr>
        <w:t xml:space="preserve">feminists </w:t>
      </w:r>
      <w:r w:rsidR="005E0F7F" w:rsidRPr="00E54CBF">
        <w:rPr>
          <w:rFonts w:ascii="Garamond" w:hAnsi="Garamond"/>
        </w:rPr>
        <w:t xml:space="preserve">are openly hostile to Freud and Lacan, </w:t>
      </w:r>
      <w:r w:rsidR="00E40806" w:rsidRPr="00E54CBF">
        <w:rPr>
          <w:rFonts w:ascii="Garamond" w:hAnsi="Garamond"/>
        </w:rPr>
        <w:t>others</w:t>
      </w:r>
      <w:r w:rsidR="005E0F7F" w:rsidRPr="00E54CBF">
        <w:rPr>
          <w:rFonts w:ascii="Garamond" w:hAnsi="Garamond"/>
        </w:rPr>
        <w:t xml:space="preserve"> defend </w:t>
      </w:r>
      <w:r w:rsidR="00E40806" w:rsidRPr="00E54CBF">
        <w:rPr>
          <w:rFonts w:ascii="Garamond" w:hAnsi="Garamond"/>
        </w:rPr>
        <w:t>the concept of the unconscious</w:t>
      </w:r>
      <w:r w:rsidR="005E0F7F" w:rsidRPr="00E54CBF">
        <w:rPr>
          <w:rFonts w:ascii="Garamond" w:hAnsi="Garamond"/>
        </w:rPr>
        <w:t xml:space="preserve">. The latter group emphasise how psychoanalysis holds the key to understanding how </w:t>
      </w:r>
      <w:r w:rsidR="005E0F7F" w:rsidRPr="00E54CBF">
        <w:rPr>
          <w:rFonts w:ascii="Garamond" w:hAnsi="Garamond"/>
          <w:i/>
        </w:rPr>
        <w:t>gender</w:t>
      </w:r>
      <w:r w:rsidR="00E40806" w:rsidRPr="00E54CBF">
        <w:rPr>
          <w:rFonts w:ascii="Garamond" w:hAnsi="Garamond"/>
        </w:rPr>
        <w:t xml:space="preserve"> is constructed socially—</w:t>
      </w:r>
      <w:r w:rsidR="005E0F7F" w:rsidRPr="00E54CBF">
        <w:rPr>
          <w:rFonts w:ascii="Garamond" w:hAnsi="Garamond"/>
        </w:rPr>
        <w:t xml:space="preserve">the </w:t>
      </w:r>
      <w:r w:rsidR="007A2E7C" w:rsidRPr="00E54CBF">
        <w:rPr>
          <w:rFonts w:ascii="Garamond" w:hAnsi="Garamond"/>
        </w:rPr>
        <w:t>rock</w:t>
      </w:r>
      <w:r w:rsidR="005E0F7F" w:rsidRPr="00E54CBF">
        <w:rPr>
          <w:rFonts w:ascii="Garamond" w:hAnsi="Garamond"/>
        </w:rPr>
        <w:t xml:space="preserve"> upon which inequality between men and women </w:t>
      </w:r>
      <w:r w:rsidR="007A2E7C" w:rsidRPr="00E54CBF">
        <w:rPr>
          <w:rFonts w:ascii="Garamond" w:hAnsi="Garamond"/>
        </w:rPr>
        <w:t>has historically been</w:t>
      </w:r>
      <w:r w:rsidR="005E0F7F" w:rsidRPr="00E54CBF">
        <w:rPr>
          <w:rFonts w:ascii="Garamond" w:hAnsi="Garamond"/>
        </w:rPr>
        <w:t xml:space="preserve"> based. Today’s lecture will seek to unpack this idea further, by investigating the impact that interrogating our own sense of gender identity and sexuality, as well as that of authors of and characters within texts, has on our reading/interpretation of texts.</w:t>
      </w:r>
    </w:p>
    <w:p w14:paraId="0C59A369" w14:textId="77777777" w:rsidR="005E0F7F" w:rsidRPr="00E54CBF" w:rsidRDefault="005E0F7F" w:rsidP="00C33A21">
      <w:pPr>
        <w:spacing w:line="360" w:lineRule="auto"/>
        <w:rPr>
          <w:rFonts w:ascii="Garamond" w:hAnsi="Garamond"/>
        </w:rPr>
      </w:pPr>
    </w:p>
    <w:p w14:paraId="65DEAC76" w14:textId="77777777" w:rsidR="00DD31CA" w:rsidRPr="00E54CBF" w:rsidRDefault="005E0F7F" w:rsidP="00C33A21">
      <w:pPr>
        <w:spacing w:line="360" w:lineRule="auto"/>
        <w:rPr>
          <w:rFonts w:ascii="Garamond" w:hAnsi="Garamond"/>
        </w:rPr>
      </w:pPr>
      <w:r w:rsidRPr="00E54CBF">
        <w:rPr>
          <w:rFonts w:ascii="Garamond" w:hAnsi="Garamond"/>
        </w:rPr>
        <w:t xml:space="preserve">Whilst opinions will vary on the extent to which </w:t>
      </w:r>
      <w:r w:rsidR="00DD31CA" w:rsidRPr="00E54CBF">
        <w:rPr>
          <w:rFonts w:ascii="Garamond" w:hAnsi="Garamond"/>
        </w:rPr>
        <w:t xml:space="preserve">gender is something inborn, fixed and unchanging, there is no denying that there </w:t>
      </w:r>
      <w:r w:rsidR="00DD31CA" w:rsidRPr="00E54CBF">
        <w:rPr>
          <w:rFonts w:ascii="Garamond" w:hAnsi="Garamond"/>
          <w:i/>
        </w:rPr>
        <w:t>is</w:t>
      </w:r>
      <w:r w:rsidR="00DD31CA" w:rsidRPr="00E54CBF">
        <w:rPr>
          <w:rFonts w:ascii="Garamond" w:hAnsi="Garamond"/>
        </w:rPr>
        <w:t xml:space="preserve"> a conceptual difference between biological sex and gender</w:t>
      </w:r>
      <w:r w:rsidR="00855EAF" w:rsidRPr="00E54CBF">
        <w:rPr>
          <w:rFonts w:ascii="Garamond" w:hAnsi="Garamond"/>
        </w:rPr>
        <w:t xml:space="preserve"> identity</w:t>
      </w:r>
      <w:r w:rsidR="00DD31CA" w:rsidRPr="00E54CBF">
        <w:rPr>
          <w:rFonts w:ascii="Garamond" w:hAnsi="Garamond"/>
        </w:rPr>
        <w:t xml:space="preserve">. Women and men are physically constructed a certain way (although this itself will also sometimes differ considerably, and may be changed) but they may or may not </w:t>
      </w:r>
      <w:r w:rsidR="00E341FD" w:rsidRPr="00E54CBF">
        <w:rPr>
          <w:rFonts w:ascii="Garamond" w:hAnsi="Garamond"/>
        </w:rPr>
        <w:t>act in way perceived to be</w:t>
      </w:r>
      <w:r w:rsidR="00DD31CA" w:rsidRPr="00E54CBF">
        <w:rPr>
          <w:rFonts w:ascii="Garamond" w:hAnsi="Garamond"/>
        </w:rPr>
        <w:t xml:space="preserve"> </w:t>
      </w:r>
      <w:r w:rsidR="00DD31CA" w:rsidRPr="00E54CBF">
        <w:rPr>
          <w:rFonts w:ascii="Garamond" w:hAnsi="Garamond"/>
          <w:i/>
        </w:rPr>
        <w:t>masculine</w:t>
      </w:r>
      <w:r w:rsidR="00DD31CA" w:rsidRPr="00E54CBF">
        <w:rPr>
          <w:rFonts w:ascii="Garamond" w:hAnsi="Garamond"/>
        </w:rPr>
        <w:t xml:space="preserve">, </w:t>
      </w:r>
      <w:r w:rsidR="00DD31CA" w:rsidRPr="00E54CBF">
        <w:rPr>
          <w:rFonts w:ascii="Garamond" w:hAnsi="Garamond"/>
          <w:i/>
        </w:rPr>
        <w:t>feminine</w:t>
      </w:r>
      <w:r w:rsidR="00DD31CA" w:rsidRPr="00E54CBF">
        <w:rPr>
          <w:rFonts w:ascii="Garamond" w:hAnsi="Garamond"/>
        </w:rPr>
        <w:t xml:space="preserve">, or </w:t>
      </w:r>
      <w:r w:rsidR="00DD31CA" w:rsidRPr="00E54CBF">
        <w:rPr>
          <w:rFonts w:ascii="Garamond" w:hAnsi="Garamond"/>
          <w:i/>
        </w:rPr>
        <w:t>androgynous</w:t>
      </w:r>
      <w:r w:rsidR="00DD31CA" w:rsidRPr="00E54CBF">
        <w:rPr>
          <w:rFonts w:ascii="Garamond" w:hAnsi="Garamond"/>
        </w:rPr>
        <w:t>. Even a person who really believes in essential differences between the sexes cannot deny that woman may seem more or less ‘feminine’ or ‘masculine’, and that this has no natural connection to the physical reality of her body. In the same way, a man may be an ‘alpha male’,</w:t>
      </w:r>
      <w:r w:rsidR="00855EAF" w:rsidRPr="00E54CBF">
        <w:rPr>
          <w:rFonts w:ascii="Garamond" w:hAnsi="Garamond"/>
        </w:rPr>
        <w:t xml:space="preserve"> masculine but</w:t>
      </w:r>
      <w:r w:rsidR="00DD31CA" w:rsidRPr="00E54CBF">
        <w:rPr>
          <w:rFonts w:ascii="Garamond" w:hAnsi="Garamond"/>
        </w:rPr>
        <w:t xml:space="preserve"> ‘in touch with his feminine side’</w:t>
      </w:r>
      <w:r w:rsidR="00855EAF" w:rsidRPr="00E54CBF">
        <w:rPr>
          <w:rFonts w:ascii="Garamond" w:hAnsi="Garamond"/>
        </w:rPr>
        <w:t>,</w:t>
      </w:r>
      <w:r w:rsidR="00DD31CA" w:rsidRPr="00E54CBF">
        <w:rPr>
          <w:rFonts w:ascii="Garamond" w:hAnsi="Garamond"/>
        </w:rPr>
        <w:t xml:space="preserve"> or </w:t>
      </w:r>
      <w:r w:rsidR="00855EAF" w:rsidRPr="00E54CBF">
        <w:rPr>
          <w:rFonts w:ascii="Garamond" w:hAnsi="Garamond"/>
        </w:rPr>
        <w:t>overtly</w:t>
      </w:r>
      <w:r w:rsidR="00DD31CA" w:rsidRPr="00E54CBF">
        <w:rPr>
          <w:rFonts w:ascii="Garamond" w:hAnsi="Garamond"/>
        </w:rPr>
        <w:t xml:space="preserve"> feminine in appearance and behaviour. And from one extreme to another, there exist</w:t>
      </w:r>
      <w:r w:rsidR="00855EAF" w:rsidRPr="00E54CBF">
        <w:rPr>
          <w:rFonts w:ascii="Garamond" w:hAnsi="Garamond"/>
        </w:rPr>
        <w:t>s</w:t>
      </w:r>
      <w:r w:rsidR="00DD31CA" w:rsidRPr="00E54CBF">
        <w:rPr>
          <w:rFonts w:ascii="Garamond" w:hAnsi="Garamond"/>
        </w:rPr>
        <w:t xml:space="preserve"> </w:t>
      </w:r>
      <w:r w:rsidR="00855EAF" w:rsidRPr="00E54CBF">
        <w:rPr>
          <w:rFonts w:ascii="Garamond" w:hAnsi="Garamond"/>
        </w:rPr>
        <w:t>a continuum of experience</w:t>
      </w:r>
      <w:r w:rsidR="00DD31CA" w:rsidRPr="00E54CBF">
        <w:rPr>
          <w:rFonts w:ascii="Garamond" w:hAnsi="Garamond"/>
        </w:rPr>
        <w:t>.</w:t>
      </w:r>
      <w:r w:rsidR="00E40806" w:rsidRPr="00E54CBF">
        <w:rPr>
          <w:rFonts w:ascii="Garamond" w:hAnsi="Garamond"/>
        </w:rPr>
        <w:t xml:space="preserve"> For </w:t>
      </w:r>
      <w:r w:rsidR="00855EAF" w:rsidRPr="00E54CBF">
        <w:rPr>
          <w:rFonts w:ascii="Garamond" w:hAnsi="Garamond"/>
        </w:rPr>
        <w:t>the majority of</w:t>
      </w:r>
      <w:r w:rsidR="00E40806" w:rsidRPr="00E54CBF">
        <w:rPr>
          <w:rFonts w:ascii="Garamond" w:hAnsi="Garamond"/>
        </w:rPr>
        <w:t xml:space="preserve"> people,</w:t>
      </w:r>
      <w:r w:rsidR="00855EAF" w:rsidRPr="00E54CBF">
        <w:rPr>
          <w:rFonts w:ascii="Garamond" w:hAnsi="Garamond"/>
        </w:rPr>
        <w:t xml:space="preserve"> perhaps,</w:t>
      </w:r>
      <w:r w:rsidR="00E40806" w:rsidRPr="00E54CBF">
        <w:rPr>
          <w:rFonts w:ascii="Garamond" w:hAnsi="Garamond"/>
        </w:rPr>
        <w:t xml:space="preserve"> their biological sex match</w:t>
      </w:r>
      <w:r w:rsidR="00855EAF" w:rsidRPr="00E54CBF">
        <w:rPr>
          <w:rFonts w:ascii="Garamond" w:hAnsi="Garamond"/>
        </w:rPr>
        <w:t>es</w:t>
      </w:r>
      <w:r w:rsidR="00E40806" w:rsidRPr="00E54CBF">
        <w:rPr>
          <w:rFonts w:ascii="Garamond" w:hAnsi="Garamond"/>
        </w:rPr>
        <w:t xml:space="preserve"> their gender identity, and such people are sometimes </w:t>
      </w:r>
      <w:r w:rsidR="00855EAF" w:rsidRPr="00E54CBF">
        <w:rPr>
          <w:rFonts w:ascii="Garamond" w:hAnsi="Garamond"/>
        </w:rPr>
        <w:t>referred to as</w:t>
      </w:r>
      <w:r w:rsidR="00E40806" w:rsidRPr="00E54CBF">
        <w:rPr>
          <w:rFonts w:ascii="Garamond" w:hAnsi="Garamond"/>
        </w:rPr>
        <w:t xml:space="preserve"> ‘cisgender’</w:t>
      </w:r>
      <w:r w:rsidR="00855EAF" w:rsidRPr="00E54CBF">
        <w:rPr>
          <w:rFonts w:ascii="Garamond" w:hAnsi="Garamond"/>
        </w:rPr>
        <w:t xml:space="preserve"> (‘cis’ meaning ‘on the side of’ and antonymous with ‘trans’)</w:t>
      </w:r>
      <w:r w:rsidR="00E40806" w:rsidRPr="00E54CBF">
        <w:rPr>
          <w:rFonts w:ascii="Garamond" w:hAnsi="Garamond"/>
        </w:rPr>
        <w:t>. For others, these do not match, and these individuals may identify as ‘transgender’, and those who</w:t>
      </w:r>
      <w:r w:rsidR="00E341FD" w:rsidRPr="00E54CBF">
        <w:rPr>
          <w:rFonts w:ascii="Garamond" w:hAnsi="Garamond"/>
        </w:rPr>
        <w:t xml:space="preserve"> feel and act like a member of the opposite sex, especially psychosexually, may identify as ‘transsexual’. A transsexual person will usually see</w:t>
      </w:r>
      <w:r w:rsidR="00A4561D" w:rsidRPr="00E54CBF">
        <w:rPr>
          <w:rFonts w:ascii="Garamond" w:hAnsi="Garamond"/>
        </w:rPr>
        <w:t>k sex reassignment surgery—</w:t>
      </w:r>
      <w:r w:rsidR="00E341FD" w:rsidRPr="00E54CBF">
        <w:rPr>
          <w:rFonts w:ascii="Garamond" w:hAnsi="Garamond"/>
        </w:rPr>
        <w:t xml:space="preserve">if </w:t>
      </w:r>
      <w:r w:rsidR="00A4561D" w:rsidRPr="00E54CBF">
        <w:rPr>
          <w:rFonts w:ascii="Garamond" w:hAnsi="Garamond"/>
        </w:rPr>
        <w:t>the option is available to them.</w:t>
      </w:r>
      <w:r w:rsidR="00855EAF" w:rsidRPr="00E54CBF">
        <w:rPr>
          <w:rFonts w:ascii="Garamond" w:hAnsi="Garamond"/>
        </w:rPr>
        <w:t xml:space="preserve"> A transgender</w:t>
      </w:r>
      <w:r w:rsidR="00AE6E59" w:rsidRPr="00E54CBF">
        <w:rPr>
          <w:rFonts w:ascii="Garamond" w:hAnsi="Garamond"/>
        </w:rPr>
        <w:t xml:space="preserve"> individual</w:t>
      </w:r>
      <w:r w:rsidR="00855EAF" w:rsidRPr="00E54CBF">
        <w:rPr>
          <w:rFonts w:ascii="Garamond" w:hAnsi="Garamond"/>
        </w:rPr>
        <w:t xml:space="preserve"> or transsexual may be h</w:t>
      </w:r>
      <w:r w:rsidR="00AE6E59" w:rsidRPr="00E54CBF">
        <w:rPr>
          <w:rFonts w:ascii="Garamond" w:hAnsi="Garamond"/>
        </w:rPr>
        <w:t>omo-, hetero- or bi-sexual in orientation, as may a cisgender person.</w:t>
      </w:r>
    </w:p>
    <w:p w14:paraId="2A8B2959" w14:textId="77777777" w:rsidR="00A4561D" w:rsidRPr="00E54CBF" w:rsidRDefault="00A4561D" w:rsidP="00C33A21">
      <w:pPr>
        <w:spacing w:line="360" w:lineRule="auto"/>
        <w:rPr>
          <w:rFonts w:ascii="Garamond" w:hAnsi="Garamond"/>
        </w:rPr>
      </w:pPr>
    </w:p>
    <w:p w14:paraId="37BE0630" w14:textId="02778EF5" w:rsidR="000415F9" w:rsidRPr="00E54CBF" w:rsidRDefault="00DD31CA" w:rsidP="00C33A21">
      <w:pPr>
        <w:spacing w:line="360" w:lineRule="auto"/>
        <w:rPr>
          <w:rFonts w:ascii="Garamond" w:hAnsi="Garamond"/>
        </w:rPr>
      </w:pPr>
      <w:r w:rsidRPr="00E54CBF">
        <w:rPr>
          <w:rFonts w:ascii="Garamond" w:hAnsi="Garamond"/>
        </w:rPr>
        <w:t xml:space="preserve">Whilst it is the case that many people do not question the existence of natural, essential differences between the sexes, despite many nuances between different thinkers the </w:t>
      </w:r>
      <w:r w:rsidRPr="00E54CBF">
        <w:rPr>
          <w:rFonts w:ascii="Garamond" w:hAnsi="Garamond"/>
        </w:rPr>
        <w:lastRenderedPageBreak/>
        <w:t>position within modern critical theory is ove</w:t>
      </w:r>
      <w:r w:rsidR="007A2E7C" w:rsidRPr="00E54CBF">
        <w:rPr>
          <w:rFonts w:ascii="Garamond" w:hAnsi="Garamond"/>
        </w:rPr>
        <w:t>rwhelmingly based on the premise</w:t>
      </w:r>
      <w:r w:rsidRPr="00E54CBF">
        <w:rPr>
          <w:rFonts w:ascii="Garamond" w:hAnsi="Garamond"/>
        </w:rPr>
        <w:t xml:space="preserve"> that</w:t>
      </w:r>
      <w:r w:rsidR="00E40806" w:rsidRPr="00E54CBF">
        <w:rPr>
          <w:rFonts w:ascii="Garamond" w:hAnsi="Garamond"/>
        </w:rPr>
        <w:t xml:space="preserve"> gender differences are </w:t>
      </w:r>
      <w:r w:rsidR="00E40806" w:rsidRPr="00E54CBF">
        <w:rPr>
          <w:rFonts w:ascii="Garamond" w:hAnsi="Garamond"/>
          <w:i/>
        </w:rPr>
        <w:t>socially constructed</w:t>
      </w:r>
      <w:r w:rsidR="00E40806" w:rsidRPr="00E54CBF">
        <w:rPr>
          <w:rFonts w:ascii="Garamond" w:hAnsi="Garamond"/>
        </w:rPr>
        <w:t xml:space="preserve"> (the constructivist position) and not </w:t>
      </w:r>
      <w:r w:rsidR="00E40806" w:rsidRPr="00E54CBF">
        <w:rPr>
          <w:rFonts w:ascii="Garamond" w:hAnsi="Garamond"/>
          <w:i/>
        </w:rPr>
        <w:t xml:space="preserve">biological </w:t>
      </w:r>
      <w:r w:rsidR="00E40806" w:rsidRPr="00E54CBF">
        <w:rPr>
          <w:rFonts w:ascii="Garamond" w:hAnsi="Garamond"/>
        </w:rPr>
        <w:t xml:space="preserve">or </w:t>
      </w:r>
      <w:r w:rsidR="00E40806" w:rsidRPr="00E54CBF">
        <w:rPr>
          <w:rFonts w:ascii="Garamond" w:hAnsi="Garamond"/>
          <w:i/>
        </w:rPr>
        <w:t xml:space="preserve">essential </w:t>
      </w:r>
      <w:r w:rsidR="00E40806" w:rsidRPr="00E54CBF">
        <w:rPr>
          <w:rFonts w:ascii="Garamond" w:hAnsi="Garamond"/>
        </w:rPr>
        <w:t xml:space="preserve">(the essentialist position). </w:t>
      </w:r>
      <w:r w:rsidR="000415F9" w:rsidRPr="00E54CBF">
        <w:rPr>
          <w:rFonts w:ascii="Garamond" w:hAnsi="Garamond"/>
        </w:rPr>
        <w:t xml:space="preserve">Simone de Beauvoir, author of one of the founding texts of French feminism, </w:t>
      </w:r>
      <w:r w:rsidR="000415F9" w:rsidRPr="00E54CBF">
        <w:rPr>
          <w:rFonts w:ascii="Garamond" w:hAnsi="Garamond"/>
          <w:i/>
        </w:rPr>
        <w:t>Le Deuxième sexe</w:t>
      </w:r>
      <w:r w:rsidR="007A2E7C" w:rsidRPr="00E54CBF">
        <w:rPr>
          <w:rFonts w:ascii="Garamond" w:hAnsi="Garamond"/>
        </w:rPr>
        <w:t xml:space="preserve"> (1949</w:t>
      </w:r>
      <w:r w:rsidR="000415F9" w:rsidRPr="00E54CBF">
        <w:rPr>
          <w:rFonts w:ascii="Garamond" w:hAnsi="Garamond"/>
        </w:rPr>
        <w:t>) famously opens her book with the statement: ‘</w:t>
      </w:r>
      <w:r w:rsidR="005E6A2F" w:rsidRPr="00E54CBF">
        <w:rPr>
          <w:rFonts w:ascii="Garamond" w:hAnsi="Garamond"/>
        </w:rPr>
        <w:t xml:space="preserve">One is not born, but rather becomes, a woman.’ </w:t>
      </w:r>
      <w:r w:rsidR="00A4561D" w:rsidRPr="00E54CBF">
        <w:rPr>
          <w:rFonts w:ascii="Garamond" w:hAnsi="Garamond"/>
        </w:rPr>
        <w:t>This belief is the basis</w:t>
      </w:r>
    </w:p>
    <w:p w14:paraId="10002486" w14:textId="77777777" w:rsidR="000415F9" w:rsidRPr="00E54CBF" w:rsidRDefault="000415F9" w:rsidP="00C33A21">
      <w:pPr>
        <w:spacing w:line="360" w:lineRule="auto"/>
        <w:rPr>
          <w:rFonts w:ascii="Garamond" w:hAnsi="Garamond"/>
        </w:rPr>
      </w:pPr>
    </w:p>
    <w:p w14:paraId="0EBEA01F" w14:textId="4C7BF7F7" w:rsidR="003E710D" w:rsidRPr="00E54CBF" w:rsidRDefault="003E710D" w:rsidP="00C33A21">
      <w:pPr>
        <w:spacing w:line="360" w:lineRule="auto"/>
        <w:rPr>
          <w:rFonts w:ascii="Garamond" w:hAnsi="Garamond"/>
        </w:rPr>
      </w:pPr>
      <w:r w:rsidRPr="00E54CBF">
        <w:rPr>
          <w:rFonts w:ascii="Garamond" w:hAnsi="Garamond"/>
        </w:rPr>
        <w:t>[SLIDE: TODAY’S LECTURE]</w:t>
      </w:r>
    </w:p>
    <w:p w14:paraId="6AA163BB" w14:textId="77777777" w:rsidR="003E710D" w:rsidRPr="00E54CBF" w:rsidRDefault="003E710D" w:rsidP="00C33A21">
      <w:pPr>
        <w:spacing w:line="360" w:lineRule="auto"/>
        <w:rPr>
          <w:rFonts w:ascii="Garamond" w:hAnsi="Garamond"/>
        </w:rPr>
      </w:pPr>
    </w:p>
    <w:p w14:paraId="0FE59974" w14:textId="6100741D" w:rsidR="00855EAF" w:rsidRPr="00E54CBF" w:rsidRDefault="00E40806" w:rsidP="00C33A21">
      <w:pPr>
        <w:spacing w:line="360" w:lineRule="auto"/>
        <w:rPr>
          <w:rFonts w:ascii="Garamond" w:hAnsi="Garamond"/>
        </w:rPr>
      </w:pPr>
      <w:r w:rsidRPr="00E54CBF">
        <w:rPr>
          <w:rFonts w:ascii="Garamond" w:hAnsi="Garamond"/>
        </w:rPr>
        <w:t xml:space="preserve">In this lecture I would like to consider </w:t>
      </w:r>
      <w:r w:rsidR="008716FF" w:rsidRPr="00E54CBF">
        <w:rPr>
          <w:rFonts w:ascii="Garamond" w:hAnsi="Garamond"/>
        </w:rPr>
        <w:t>two broad</w:t>
      </w:r>
      <w:r w:rsidRPr="00E54CBF">
        <w:rPr>
          <w:rFonts w:ascii="Garamond" w:hAnsi="Garamond"/>
        </w:rPr>
        <w:t xml:space="preserve"> areas of literary theory</w:t>
      </w:r>
      <w:r w:rsidR="008716FF" w:rsidRPr="00E54CBF">
        <w:rPr>
          <w:rFonts w:ascii="Garamond" w:hAnsi="Garamond"/>
        </w:rPr>
        <w:t xml:space="preserve"> </w:t>
      </w:r>
      <w:r w:rsidRPr="00E54CBF">
        <w:rPr>
          <w:rFonts w:ascii="Garamond" w:hAnsi="Garamond"/>
        </w:rPr>
        <w:t>where the constructivist approach to gender relations has produced i</w:t>
      </w:r>
      <w:r w:rsidR="008716FF" w:rsidRPr="00E54CBF">
        <w:rPr>
          <w:rFonts w:ascii="Garamond" w:hAnsi="Garamond"/>
        </w:rPr>
        <w:t>mportant new critical trends: the first is f</w:t>
      </w:r>
      <w:r w:rsidRPr="00E54CBF">
        <w:rPr>
          <w:rFonts w:ascii="Garamond" w:hAnsi="Garamond"/>
        </w:rPr>
        <w:t>eminism</w:t>
      </w:r>
      <w:r w:rsidR="008716FF" w:rsidRPr="00E54CBF">
        <w:rPr>
          <w:rFonts w:ascii="Garamond" w:hAnsi="Garamond"/>
        </w:rPr>
        <w:t>, and the second area is gay and lesbian writing/criticism and a set of ideas that is commonly placed under the umbrella term ‘q</w:t>
      </w:r>
      <w:r w:rsidRPr="00E54CBF">
        <w:rPr>
          <w:rFonts w:ascii="Garamond" w:hAnsi="Garamond"/>
        </w:rPr>
        <w:t>ueer theory</w:t>
      </w:r>
      <w:r w:rsidR="008716FF" w:rsidRPr="00E54CBF">
        <w:rPr>
          <w:rFonts w:ascii="Garamond" w:hAnsi="Garamond"/>
        </w:rPr>
        <w:t>’</w:t>
      </w:r>
      <w:r w:rsidRPr="00E54CBF">
        <w:rPr>
          <w:rFonts w:ascii="Garamond" w:hAnsi="Garamond"/>
        </w:rPr>
        <w:t>.</w:t>
      </w:r>
      <w:r w:rsidR="000415F9" w:rsidRPr="00E54CBF">
        <w:rPr>
          <w:rFonts w:ascii="Garamond" w:hAnsi="Garamond"/>
        </w:rPr>
        <w:t xml:space="preserve"> We shall see that, in terms of literary criticism, it is the centrality of </w:t>
      </w:r>
      <w:r w:rsidR="000415F9" w:rsidRPr="00E54CBF">
        <w:rPr>
          <w:rFonts w:ascii="Garamond" w:hAnsi="Garamond"/>
          <w:i/>
        </w:rPr>
        <w:t>language</w:t>
      </w:r>
      <w:r w:rsidR="00AE6E59" w:rsidRPr="00E54CBF">
        <w:rPr>
          <w:rFonts w:ascii="Garamond" w:hAnsi="Garamond"/>
        </w:rPr>
        <w:t xml:space="preserve"> that principally concerns us, as well as the challenging the common assumptions we hold as readers about gender and sexuality.</w:t>
      </w:r>
    </w:p>
    <w:p w14:paraId="763CBAA6" w14:textId="77777777" w:rsidR="00855EAF" w:rsidRPr="00E54CBF" w:rsidRDefault="00855EAF" w:rsidP="00C33A21">
      <w:pPr>
        <w:spacing w:line="360" w:lineRule="auto"/>
        <w:rPr>
          <w:rFonts w:ascii="Garamond" w:hAnsi="Garamond"/>
        </w:rPr>
      </w:pPr>
    </w:p>
    <w:p w14:paraId="4AE4A24F" w14:textId="1941CCF8" w:rsidR="003E710D" w:rsidRPr="00E54CBF" w:rsidRDefault="003E710D" w:rsidP="00C33A21">
      <w:pPr>
        <w:spacing w:line="360" w:lineRule="auto"/>
        <w:rPr>
          <w:rFonts w:ascii="Garamond" w:hAnsi="Garamond"/>
        </w:rPr>
      </w:pPr>
      <w:r w:rsidRPr="00E54CBF">
        <w:rPr>
          <w:rFonts w:ascii="Garamond" w:hAnsi="Garamond"/>
        </w:rPr>
        <w:t>[SLIDE: FEMINISM</w:t>
      </w:r>
      <w:r w:rsidR="00260455" w:rsidRPr="00E54CBF">
        <w:rPr>
          <w:rFonts w:ascii="Garamond" w:hAnsi="Garamond"/>
        </w:rPr>
        <w:t xml:space="preserve"> 1</w:t>
      </w:r>
      <w:r w:rsidRPr="00E54CBF">
        <w:rPr>
          <w:rFonts w:ascii="Garamond" w:hAnsi="Garamond"/>
        </w:rPr>
        <w:t>]</w:t>
      </w:r>
    </w:p>
    <w:p w14:paraId="403399E6" w14:textId="77777777" w:rsidR="003E710D" w:rsidRPr="00E54CBF" w:rsidRDefault="003E710D" w:rsidP="00C33A21">
      <w:pPr>
        <w:spacing w:line="360" w:lineRule="auto"/>
        <w:rPr>
          <w:rFonts w:ascii="Garamond" w:hAnsi="Garamond"/>
        </w:rPr>
      </w:pPr>
    </w:p>
    <w:p w14:paraId="12D16566" w14:textId="77777777" w:rsidR="00DD69CF" w:rsidRPr="00E54CBF" w:rsidRDefault="00A4561D" w:rsidP="00C33A21">
      <w:pPr>
        <w:spacing w:line="360" w:lineRule="auto"/>
        <w:rPr>
          <w:rFonts w:ascii="Garamond" w:hAnsi="Garamond"/>
        </w:rPr>
      </w:pPr>
      <w:r w:rsidRPr="00E54CBF">
        <w:rPr>
          <w:rFonts w:ascii="Garamond" w:hAnsi="Garamond"/>
        </w:rPr>
        <w:t>1. Feminism</w:t>
      </w:r>
    </w:p>
    <w:p w14:paraId="50B23DFA" w14:textId="77777777" w:rsidR="000F7BE1" w:rsidRPr="00E54CBF" w:rsidRDefault="000F7BE1" w:rsidP="00C33A21">
      <w:pPr>
        <w:spacing w:line="360" w:lineRule="auto"/>
        <w:rPr>
          <w:rFonts w:ascii="Garamond" w:hAnsi="Garamond"/>
        </w:rPr>
      </w:pPr>
    </w:p>
    <w:p w14:paraId="54AD0C14" w14:textId="621FE3C9" w:rsidR="00855EAF" w:rsidRPr="00E54CBF" w:rsidRDefault="00AE6E59" w:rsidP="00C33A21">
      <w:pPr>
        <w:spacing w:line="360" w:lineRule="auto"/>
        <w:rPr>
          <w:rFonts w:ascii="Garamond" w:hAnsi="Garamond"/>
        </w:rPr>
      </w:pPr>
      <w:r w:rsidRPr="00E54CBF">
        <w:rPr>
          <w:rFonts w:ascii="Garamond" w:hAnsi="Garamond"/>
        </w:rPr>
        <w:t xml:space="preserve">Feminism as a modern political movement dates from the nineteenth century, when the </w:t>
      </w:r>
      <w:r w:rsidR="0048535A" w:rsidRPr="00E54CBF">
        <w:rPr>
          <w:rFonts w:ascii="Garamond" w:hAnsi="Garamond"/>
        </w:rPr>
        <w:t>‘</w:t>
      </w:r>
      <w:r w:rsidRPr="00E54CBF">
        <w:rPr>
          <w:rFonts w:ascii="Garamond" w:hAnsi="Garamond"/>
        </w:rPr>
        <w:t>first</w:t>
      </w:r>
      <w:r w:rsidR="0048535A" w:rsidRPr="00E54CBF">
        <w:rPr>
          <w:rFonts w:ascii="Garamond" w:hAnsi="Garamond"/>
        </w:rPr>
        <w:t xml:space="preserve"> wave’</w:t>
      </w:r>
      <w:r w:rsidRPr="00E54CBF">
        <w:rPr>
          <w:rFonts w:ascii="Garamond" w:hAnsi="Garamond"/>
        </w:rPr>
        <w:t xml:space="preserve"> campaigns for universal suffrage and legal equality came about.</w:t>
      </w:r>
      <w:r w:rsidR="00B74F62" w:rsidRPr="00E54CBF">
        <w:rPr>
          <w:rFonts w:ascii="Garamond" w:hAnsi="Garamond"/>
        </w:rPr>
        <w:t xml:space="preserve"> </w:t>
      </w:r>
      <w:r w:rsidR="0048535A" w:rsidRPr="00E54CBF">
        <w:rPr>
          <w:rFonts w:ascii="Garamond" w:hAnsi="Garamond"/>
        </w:rPr>
        <w:t xml:space="preserve">Key texts from this period include Simone de Beauvoir’s </w:t>
      </w:r>
      <w:r w:rsidR="0048535A" w:rsidRPr="00E54CBF">
        <w:rPr>
          <w:rFonts w:ascii="Garamond" w:hAnsi="Garamond"/>
          <w:i/>
        </w:rPr>
        <w:t>Le Deuxième sexe</w:t>
      </w:r>
      <w:r w:rsidR="0048535A" w:rsidRPr="00E54CBF">
        <w:rPr>
          <w:rFonts w:ascii="Garamond" w:hAnsi="Garamond"/>
        </w:rPr>
        <w:t xml:space="preserve">, mentioned previously, and Virginia Woolf’s excellent essay, ‘A Room of One’s Own’ (1929), in which she discusses the inequalities between men and women in terms of their access to education. Her argument is that men who create great works of literature are able to do so only if they have money and private space, something most women are denied (but, crucially, something Woolf herself </w:t>
      </w:r>
      <w:r w:rsidR="007A2E7C" w:rsidRPr="00E54CBF">
        <w:rPr>
          <w:rFonts w:ascii="Garamond" w:hAnsi="Garamond"/>
          <w:i/>
        </w:rPr>
        <w:t>did</w:t>
      </w:r>
      <w:r w:rsidR="0048535A" w:rsidRPr="00E54CBF">
        <w:rPr>
          <w:rFonts w:ascii="Garamond" w:hAnsi="Garamond"/>
        </w:rPr>
        <w:t xml:space="preserve"> have). </w:t>
      </w:r>
      <w:r w:rsidR="00B74F62" w:rsidRPr="00E54CBF">
        <w:rPr>
          <w:rFonts w:ascii="Garamond" w:hAnsi="Garamond"/>
        </w:rPr>
        <w:t xml:space="preserve">In terms of recent feminist critical theory, it dates from the ‘women’s </w:t>
      </w:r>
      <w:r w:rsidR="00F43DE7" w:rsidRPr="00E54CBF">
        <w:rPr>
          <w:rFonts w:ascii="Garamond" w:hAnsi="Garamond"/>
        </w:rPr>
        <w:t xml:space="preserve">liberation </w:t>
      </w:r>
      <w:r w:rsidR="00B74F62" w:rsidRPr="00E54CBF">
        <w:rPr>
          <w:rFonts w:ascii="Garamond" w:hAnsi="Garamond"/>
        </w:rPr>
        <w:t>movement’ of the 1960s, representing what is commonly thought of as the ‘second wave’ of feminism (the first being</w:t>
      </w:r>
      <w:r w:rsidR="00F43DE7" w:rsidRPr="00E54CBF">
        <w:rPr>
          <w:rFonts w:ascii="Garamond" w:hAnsi="Garamond"/>
        </w:rPr>
        <w:t xml:space="preserve"> the C19th/early C20th stage), a period during which feminists campaigned for legal and social equality for women: for example, rights in the workplace, as well as access to reliable contraception and reproductive rights in general. </w:t>
      </w:r>
      <w:r w:rsidR="007A2E7C" w:rsidRPr="00E54CBF">
        <w:rPr>
          <w:rFonts w:ascii="Garamond" w:hAnsi="Garamond"/>
        </w:rPr>
        <w:t>[third and fourth wave?]</w:t>
      </w:r>
    </w:p>
    <w:p w14:paraId="4DC9D008" w14:textId="77777777" w:rsidR="00B47C83" w:rsidRPr="00E54CBF" w:rsidRDefault="00B47C83" w:rsidP="00C33A21">
      <w:pPr>
        <w:spacing w:line="360" w:lineRule="auto"/>
        <w:rPr>
          <w:rFonts w:ascii="Garamond" w:hAnsi="Garamond"/>
        </w:rPr>
      </w:pPr>
    </w:p>
    <w:p w14:paraId="697363A2" w14:textId="4A3B5514" w:rsidR="000F7BE1" w:rsidRPr="00E54CBF" w:rsidRDefault="00260455" w:rsidP="00C33A21">
      <w:pPr>
        <w:spacing w:line="360" w:lineRule="auto"/>
        <w:rPr>
          <w:rFonts w:ascii="Garamond" w:hAnsi="Garamond"/>
        </w:rPr>
      </w:pPr>
      <w:r w:rsidRPr="00E54CBF">
        <w:rPr>
          <w:rFonts w:ascii="Garamond" w:hAnsi="Garamond"/>
        </w:rPr>
        <w:lastRenderedPageBreak/>
        <w:t>[SLIDE: FEMINISM 2</w:t>
      </w:r>
      <w:r w:rsidR="00B47C83" w:rsidRPr="00E54CBF">
        <w:rPr>
          <w:rFonts w:ascii="Garamond" w:hAnsi="Garamond"/>
        </w:rPr>
        <w:t>]</w:t>
      </w:r>
      <w:r w:rsidR="00F43DE7" w:rsidRPr="00E54CBF">
        <w:rPr>
          <w:rFonts w:ascii="Garamond" w:hAnsi="Garamond"/>
        </w:rPr>
        <w:tab/>
      </w:r>
    </w:p>
    <w:p w14:paraId="52C7DC0C" w14:textId="77777777" w:rsidR="00B47C83" w:rsidRPr="00E54CBF" w:rsidRDefault="00B47C83" w:rsidP="00C33A21">
      <w:pPr>
        <w:spacing w:line="360" w:lineRule="auto"/>
        <w:rPr>
          <w:rFonts w:ascii="Garamond" w:hAnsi="Garamond"/>
        </w:rPr>
      </w:pPr>
    </w:p>
    <w:p w14:paraId="4A4917F1" w14:textId="77777777" w:rsidR="00B47C83" w:rsidRPr="00E54CBF" w:rsidRDefault="00F43DE7" w:rsidP="00C33A21">
      <w:pPr>
        <w:spacing w:line="360" w:lineRule="auto"/>
        <w:rPr>
          <w:rFonts w:ascii="Garamond" w:hAnsi="Garamond"/>
        </w:rPr>
      </w:pPr>
      <w:r w:rsidRPr="00E54CBF">
        <w:rPr>
          <w:rFonts w:ascii="Garamond" w:hAnsi="Garamond"/>
        </w:rPr>
        <w:t>So what do feminist approaches to literature look like? First of all, it is important to note that ‘feminism’, like ‘psychoanalysis’, is not a single ideology but rather a collection of writings that have in common the concern with the position of women</w:t>
      </w:r>
      <w:r w:rsidR="00CE5009" w:rsidRPr="00E54CBF">
        <w:rPr>
          <w:rFonts w:ascii="Garamond" w:hAnsi="Garamond"/>
        </w:rPr>
        <w:t xml:space="preserve"> as authors and readers of, as well as characters in, literary texts and film. In most introductions to literary theory, </w:t>
      </w:r>
      <w:r w:rsidR="0048535A" w:rsidRPr="00E54CBF">
        <w:rPr>
          <w:rFonts w:ascii="Garamond" w:hAnsi="Garamond"/>
        </w:rPr>
        <w:t>feminist theory is divided into two broad schools, commonly labelled ‘French’ and ‘Anglo-American’ criticism. These labels are a little unhelpful because their main representatives of the former are not French by birth, and there are some crucial differences between the ways in which feminism has evolved</w:t>
      </w:r>
      <w:r w:rsidR="002C12F9" w:rsidRPr="00E54CBF">
        <w:rPr>
          <w:rFonts w:ascii="Garamond" w:hAnsi="Garamond"/>
        </w:rPr>
        <w:t xml:space="preserve"> in the UK and the US. However, in general ‘French’ feminists have adopted a great deal of post-structuralist and psychoanalytic criticism as the basis of their work, exemplified by thinkers such as Luce Irigaray, Julia Kristeva and Hélène Cixous. </w:t>
      </w:r>
    </w:p>
    <w:p w14:paraId="33D66D87" w14:textId="77777777" w:rsidR="00B47C83" w:rsidRPr="00E54CBF" w:rsidRDefault="00B47C83" w:rsidP="00C33A21">
      <w:pPr>
        <w:spacing w:line="360" w:lineRule="auto"/>
        <w:rPr>
          <w:rFonts w:ascii="Garamond" w:hAnsi="Garamond"/>
        </w:rPr>
      </w:pPr>
    </w:p>
    <w:p w14:paraId="2FE937D9" w14:textId="21105D1F" w:rsidR="00B47C83" w:rsidRPr="00E54CBF" w:rsidRDefault="00B47C83" w:rsidP="00C33A21">
      <w:pPr>
        <w:spacing w:line="360" w:lineRule="auto"/>
        <w:rPr>
          <w:rFonts w:ascii="Garamond" w:hAnsi="Garamond"/>
        </w:rPr>
      </w:pPr>
      <w:r w:rsidRPr="00E54CBF">
        <w:rPr>
          <w:rFonts w:ascii="Garamond" w:hAnsi="Garamond"/>
        </w:rPr>
        <w:t>[SLIDE: FEMINISM (2)]</w:t>
      </w:r>
    </w:p>
    <w:p w14:paraId="4434929C" w14:textId="77777777" w:rsidR="00B47C83" w:rsidRPr="00E54CBF" w:rsidRDefault="00B47C83" w:rsidP="00C33A21">
      <w:pPr>
        <w:spacing w:line="360" w:lineRule="auto"/>
        <w:rPr>
          <w:rFonts w:ascii="Garamond" w:hAnsi="Garamond"/>
        </w:rPr>
      </w:pPr>
    </w:p>
    <w:p w14:paraId="277D52F6" w14:textId="613F70A0" w:rsidR="000F7BE1" w:rsidRPr="00E54CBF" w:rsidRDefault="002C12F9" w:rsidP="00C33A21">
      <w:pPr>
        <w:spacing w:line="360" w:lineRule="auto"/>
        <w:rPr>
          <w:rFonts w:ascii="Garamond" w:hAnsi="Garamond"/>
        </w:rPr>
      </w:pPr>
      <w:r w:rsidRPr="00E54CBF">
        <w:rPr>
          <w:rFonts w:ascii="Garamond" w:hAnsi="Garamond"/>
        </w:rPr>
        <w:t>‘Anglo-American’ (usually actually American) feminists, such as Elaine Showalter and Sandra Gilbert and Susan Gubar, have retained a more traditional literary interest in concepts such as theme, motif and characterisation.</w:t>
      </w:r>
      <w:r w:rsidR="00B47C83" w:rsidRPr="00E54CBF">
        <w:rPr>
          <w:rFonts w:ascii="Garamond" w:hAnsi="Garamond"/>
        </w:rPr>
        <w:t xml:space="preserve"> </w:t>
      </w:r>
      <w:r w:rsidR="00226711" w:rsidRPr="00E54CBF">
        <w:rPr>
          <w:rFonts w:ascii="Garamond" w:hAnsi="Garamond"/>
        </w:rPr>
        <w:t>In terms of the important process of questioning the assumptions we bring to the reading of texts, one</w:t>
      </w:r>
      <w:r w:rsidR="00E852F2" w:rsidRPr="00E54CBF">
        <w:rPr>
          <w:rFonts w:ascii="Garamond" w:hAnsi="Garamond"/>
        </w:rPr>
        <w:t xml:space="preserve"> of the most</w:t>
      </w:r>
      <w:r w:rsidR="00226711" w:rsidRPr="00E54CBF">
        <w:rPr>
          <w:rFonts w:ascii="Garamond" w:hAnsi="Garamond"/>
        </w:rPr>
        <w:t xml:space="preserve"> important thing</w:t>
      </w:r>
      <w:r w:rsidR="00E852F2" w:rsidRPr="00E54CBF">
        <w:rPr>
          <w:rFonts w:ascii="Garamond" w:hAnsi="Garamond"/>
        </w:rPr>
        <w:t>s</w:t>
      </w:r>
      <w:r w:rsidR="00226711" w:rsidRPr="00E54CBF">
        <w:rPr>
          <w:rFonts w:ascii="Garamond" w:hAnsi="Garamond"/>
        </w:rPr>
        <w:t xml:space="preserve"> feminist critics have done is to challenge the concept of the ‘canon’, that is to say the books in a culture that are considered to be ‘great’, and </w:t>
      </w:r>
      <w:r w:rsidR="00E852F2" w:rsidRPr="00E54CBF">
        <w:rPr>
          <w:rFonts w:ascii="Garamond" w:hAnsi="Garamond"/>
        </w:rPr>
        <w:t>proverbially speaking</w:t>
      </w:r>
      <w:r w:rsidR="00226711" w:rsidRPr="00E54CBF">
        <w:rPr>
          <w:rFonts w:ascii="Garamond" w:hAnsi="Garamond"/>
        </w:rPr>
        <w:t xml:space="preserve"> the products of ‘dead, white men’. This revaluing of women writers is termed ‘gynocriticism’ by Elaine Showalter, who coined the term in her essay ‘Toward a Feminine Poetics’ (1979), who also developed this term to refer to the establishment and recognition of a female canon as well as the concept of the female reader. An example in French Studies is Alison Finch’s </w:t>
      </w:r>
      <w:r w:rsidR="00960BD5" w:rsidRPr="00E54CBF">
        <w:rPr>
          <w:rFonts w:ascii="Garamond" w:hAnsi="Garamond"/>
        </w:rPr>
        <w:t xml:space="preserve">book </w:t>
      </w:r>
      <w:r w:rsidR="00960BD5" w:rsidRPr="00E54CBF">
        <w:rPr>
          <w:rFonts w:ascii="Garamond" w:hAnsi="Garamond"/>
          <w:i/>
        </w:rPr>
        <w:t>Women’s Writing in Nineteenth-Century France</w:t>
      </w:r>
      <w:r w:rsidR="00960BD5" w:rsidRPr="00E54CBF">
        <w:rPr>
          <w:rFonts w:ascii="Garamond" w:hAnsi="Garamond"/>
        </w:rPr>
        <w:t>, which seeks to re-establish the literary reputation</w:t>
      </w:r>
      <w:r w:rsidR="00E852F2" w:rsidRPr="00E54CBF">
        <w:rPr>
          <w:rFonts w:ascii="Garamond" w:hAnsi="Garamond"/>
        </w:rPr>
        <w:t>s</w:t>
      </w:r>
      <w:r w:rsidR="00960BD5" w:rsidRPr="00E54CBF">
        <w:rPr>
          <w:rFonts w:ascii="Garamond" w:hAnsi="Garamond"/>
        </w:rPr>
        <w:t xml:space="preserve"> of authors who were successful and appreciated in their </w:t>
      </w:r>
      <w:r w:rsidR="00E852F2" w:rsidRPr="00E54CBF">
        <w:rPr>
          <w:rFonts w:ascii="Garamond" w:hAnsi="Garamond"/>
        </w:rPr>
        <w:t>life</w:t>
      </w:r>
      <w:r w:rsidR="00960BD5" w:rsidRPr="00E54CBF">
        <w:rPr>
          <w:rFonts w:ascii="Garamond" w:hAnsi="Garamond"/>
        </w:rPr>
        <w:t>times but quickly forgotten after their deaths, i.e. not integrated into the ‘canon’.</w:t>
      </w:r>
      <w:r w:rsidR="007A2E7C" w:rsidRPr="00E54CBF">
        <w:rPr>
          <w:rFonts w:ascii="Garamond" w:hAnsi="Garamond"/>
        </w:rPr>
        <w:t xml:space="preserve"> This form of criticism, alongside postcolonial theory, could be applicable to an author such as Maryse Condé.</w:t>
      </w:r>
    </w:p>
    <w:p w14:paraId="1CA70EAE" w14:textId="77777777" w:rsidR="00B47C83" w:rsidRPr="00E54CBF" w:rsidRDefault="00B47C83" w:rsidP="00C33A21">
      <w:pPr>
        <w:spacing w:line="360" w:lineRule="auto"/>
        <w:rPr>
          <w:rFonts w:ascii="Garamond" w:hAnsi="Garamond"/>
        </w:rPr>
      </w:pPr>
    </w:p>
    <w:p w14:paraId="4FEAE4EE" w14:textId="2126EFD0" w:rsidR="00B47C83" w:rsidRPr="00E54CBF" w:rsidRDefault="00B47C83" w:rsidP="00C33A21">
      <w:pPr>
        <w:spacing w:line="360" w:lineRule="auto"/>
        <w:rPr>
          <w:rFonts w:ascii="Garamond" w:hAnsi="Garamond"/>
        </w:rPr>
      </w:pPr>
      <w:r w:rsidRPr="00E54CBF">
        <w:rPr>
          <w:rFonts w:ascii="Garamond" w:hAnsi="Garamond"/>
        </w:rPr>
        <w:t>[SLIDE</w:t>
      </w:r>
      <w:r w:rsidR="000624F9" w:rsidRPr="00E54CBF">
        <w:rPr>
          <w:rFonts w:ascii="Garamond" w:hAnsi="Garamond"/>
        </w:rPr>
        <w:t>: Henry Miller photo</w:t>
      </w:r>
      <w:r w:rsidRPr="00E54CBF">
        <w:rPr>
          <w:rFonts w:ascii="Garamond" w:hAnsi="Garamond"/>
        </w:rPr>
        <w:t>]</w:t>
      </w:r>
    </w:p>
    <w:p w14:paraId="015D4F63" w14:textId="77777777" w:rsidR="00B47C83" w:rsidRPr="00E54CBF" w:rsidRDefault="00B47C83" w:rsidP="00C33A21">
      <w:pPr>
        <w:spacing w:line="360" w:lineRule="auto"/>
        <w:rPr>
          <w:rFonts w:ascii="Garamond" w:hAnsi="Garamond"/>
        </w:rPr>
      </w:pPr>
    </w:p>
    <w:p w14:paraId="2F69404D" w14:textId="06187C9E" w:rsidR="00960BD5" w:rsidRPr="00E54CBF" w:rsidRDefault="00960BD5" w:rsidP="00C33A21">
      <w:pPr>
        <w:spacing w:line="360" w:lineRule="auto"/>
        <w:rPr>
          <w:rFonts w:ascii="Garamond" w:hAnsi="Garamond"/>
        </w:rPr>
      </w:pPr>
      <w:r w:rsidRPr="00E54CBF">
        <w:rPr>
          <w:rFonts w:ascii="Garamond" w:hAnsi="Garamond"/>
        </w:rPr>
        <w:lastRenderedPageBreak/>
        <w:t xml:space="preserve">Another important aspect of feminist criticism in the broadly Anglo-American tradition is to revalue women’s experience in terms of the power relations that exist in texts, and to challenge objectifying representations of women. In this sense, they may attempt in some way to reconstruct the subjective experience of women </w:t>
      </w:r>
      <w:r w:rsidR="00E852F2" w:rsidRPr="00E54CBF">
        <w:rPr>
          <w:rFonts w:ascii="Garamond" w:hAnsi="Garamond"/>
        </w:rPr>
        <w:t>perceived to be silenced or diminished</w:t>
      </w:r>
      <w:r w:rsidRPr="00E54CBF">
        <w:rPr>
          <w:rFonts w:ascii="Garamond" w:hAnsi="Garamond"/>
        </w:rPr>
        <w:t xml:space="preserve"> in male- (or even female-)authored fiction, for example. Let’s have a look at </w:t>
      </w:r>
      <w:r w:rsidR="007A2E7C" w:rsidRPr="00E54CBF">
        <w:rPr>
          <w:rFonts w:ascii="Garamond" w:hAnsi="Garamond"/>
        </w:rPr>
        <w:t>how this works with the example</w:t>
      </w:r>
      <w:r w:rsidRPr="00E54CBF">
        <w:rPr>
          <w:rFonts w:ascii="Garamond" w:hAnsi="Garamond"/>
        </w:rPr>
        <w:t xml:space="preserve"> on the handout.</w:t>
      </w:r>
    </w:p>
    <w:p w14:paraId="100FF905" w14:textId="77777777" w:rsidR="000F7BE1" w:rsidRPr="00E54CBF" w:rsidRDefault="00960BD5" w:rsidP="00C33A21">
      <w:pPr>
        <w:spacing w:line="360" w:lineRule="auto"/>
        <w:rPr>
          <w:rFonts w:ascii="Garamond" w:hAnsi="Garamond"/>
        </w:rPr>
      </w:pPr>
      <w:r w:rsidRPr="00E54CBF">
        <w:rPr>
          <w:rFonts w:ascii="Garamond" w:hAnsi="Garamond"/>
        </w:rPr>
        <w:tab/>
      </w:r>
    </w:p>
    <w:p w14:paraId="6DCAB974" w14:textId="4F61B63C" w:rsidR="000624F9" w:rsidRPr="00E54CBF" w:rsidRDefault="000624F9" w:rsidP="00C33A21">
      <w:pPr>
        <w:spacing w:line="360" w:lineRule="auto"/>
        <w:rPr>
          <w:rFonts w:ascii="Garamond" w:hAnsi="Garamond"/>
        </w:rPr>
      </w:pPr>
      <w:r w:rsidRPr="00E54CBF">
        <w:rPr>
          <w:rFonts w:ascii="Garamond" w:hAnsi="Garamond"/>
        </w:rPr>
        <w:t>[SLI</w:t>
      </w:r>
      <w:r w:rsidR="00260455" w:rsidRPr="00E54CBF">
        <w:rPr>
          <w:rFonts w:ascii="Garamond" w:hAnsi="Garamond"/>
        </w:rPr>
        <w:t>DE: TROPIC OF CANCER BOOKCOVER</w:t>
      </w:r>
      <w:r w:rsidRPr="00E54CBF">
        <w:rPr>
          <w:rFonts w:ascii="Garamond" w:hAnsi="Garamond"/>
        </w:rPr>
        <w:t>]</w:t>
      </w:r>
    </w:p>
    <w:p w14:paraId="15398E81" w14:textId="77777777" w:rsidR="000624F9" w:rsidRPr="00E54CBF" w:rsidRDefault="000624F9" w:rsidP="00C33A21">
      <w:pPr>
        <w:spacing w:line="360" w:lineRule="auto"/>
        <w:rPr>
          <w:rFonts w:ascii="Garamond" w:hAnsi="Garamond"/>
        </w:rPr>
      </w:pPr>
    </w:p>
    <w:p w14:paraId="3647E361" w14:textId="5935BA76" w:rsidR="00960BD5" w:rsidRPr="00E54CBF" w:rsidRDefault="00960BD5" w:rsidP="00C33A21">
      <w:pPr>
        <w:spacing w:line="360" w:lineRule="auto"/>
        <w:rPr>
          <w:rFonts w:ascii="Garamond" w:hAnsi="Garamond"/>
        </w:rPr>
      </w:pPr>
      <w:r w:rsidRPr="00E54CBF">
        <w:rPr>
          <w:rFonts w:ascii="Garamond" w:hAnsi="Garamond"/>
        </w:rPr>
        <w:t xml:space="preserve">Henry Miller’s </w:t>
      </w:r>
      <w:r w:rsidRPr="00E54CBF">
        <w:rPr>
          <w:rFonts w:ascii="Garamond" w:hAnsi="Garamond"/>
          <w:i/>
        </w:rPr>
        <w:t>Tropic of Cancer</w:t>
      </w:r>
      <w:r w:rsidR="00927707" w:rsidRPr="00E54CBF">
        <w:rPr>
          <w:rFonts w:ascii="Garamond" w:hAnsi="Garamond"/>
        </w:rPr>
        <w:t xml:space="preserve"> is a fictionalised autobiographical account of the experiences of a young American author living in Paris in the 1930s. It contains many passages similar to the example you have read of the sexual exploits of the main protagonist as well as peripheral characters, and it focuses in particular on the exploitation of prostitutes. The men in the story are often living in relative poverty, but they exploit destitute prostitutes who are even poorer than themse</w:t>
      </w:r>
      <w:r w:rsidR="007A2E7C" w:rsidRPr="00E54CBF">
        <w:rPr>
          <w:rFonts w:ascii="Garamond" w:hAnsi="Garamond"/>
        </w:rPr>
        <w:t>lves by pretending to love them</w:t>
      </w:r>
      <w:r w:rsidR="00927707" w:rsidRPr="00E54CBF">
        <w:rPr>
          <w:rFonts w:ascii="Garamond" w:hAnsi="Garamond"/>
        </w:rPr>
        <w:t xml:space="preserve">. The book was banned in America when it was first published, interestingly (although perhaps unsurprisingly) </w:t>
      </w:r>
      <w:r w:rsidR="00927707" w:rsidRPr="00E54CBF">
        <w:rPr>
          <w:rFonts w:ascii="Garamond" w:hAnsi="Garamond"/>
          <w:i/>
        </w:rPr>
        <w:t>not</w:t>
      </w:r>
      <w:r w:rsidR="00927707" w:rsidRPr="00E54CBF">
        <w:rPr>
          <w:rFonts w:ascii="Garamond" w:hAnsi="Garamond"/>
        </w:rPr>
        <w:t xml:space="preserve"> because of its </w:t>
      </w:r>
      <w:r w:rsidR="000624F9" w:rsidRPr="00E54CBF">
        <w:rPr>
          <w:rFonts w:ascii="Garamond" w:hAnsi="Garamond"/>
        </w:rPr>
        <w:t xml:space="preserve">misogynistic </w:t>
      </w:r>
      <w:r w:rsidR="00927707" w:rsidRPr="00E54CBF">
        <w:rPr>
          <w:rFonts w:ascii="Garamond" w:hAnsi="Garamond"/>
        </w:rPr>
        <w:t>treatment of women but because it was considered pornographic. Despite this, it has also been hailed by highly respected critics as one of the greatest works of literature of the twentieth century. George Orwell wrote extensively about the novel in his 194</w:t>
      </w:r>
      <w:r w:rsidR="00C65380" w:rsidRPr="00E54CBF">
        <w:rPr>
          <w:rFonts w:ascii="Garamond" w:hAnsi="Garamond"/>
        </w:rPr>
        <w:t>0 essay, ‘Inside the Whale’:</w:t>
      </w:r>
    </w:p>
    <w:p w14:paraId="7D3F2CFC" w14:textId="77777777" w:rsidR="007A2E7C" w:rsidRPr="00E54CBF" w:rsidRDefault="007A2E7C" w:rsidP="00C33A21">
      <w:pPr>
        <w:spacing w:line="360" w:lineRule="auto"/>
        <w:rPr>
          <w:rFonts w:ascii="Garamond" w:hAnsi="Garamond"/>
        </w:rPr>
      </w:pPr>
    </w:p>
    <w:p w14:paraId="4071652B" w14:textId="40D59002" w:rsidR="00C65380" w:rsidRPr="00E54CBF" w:rsidRDefault="00260455" w:rsidP="00260455">
      <w:pPr>
        <w:spacing w:line="360" w:lineRule="auto"/>
        <w:rPr>
          <w:rFonts w:ascii="Garamond" w:hAnsi="Garamond" w:cs="Times"/>
          <w:lang w:val="en-US"/>
        </w:rPr>
      </w:pPr>
      <w:r w:rsidRPr="00E54CBF">
        <w:rPr>
          <w:rFonts w:ascii="Garamond" w:hAnsi="Garamond" w:cs="Times"/>
          <w:lang w:val="en-US"/>
        </w:rPr>
        <w:t>[SLIDE: ORWELL]</w:t>
      </w:r>
    </w:p>
    <w:p w14:paraId="7BADC3DE" w14:textId="77777777" w:rsidR="007A2E7C" w:rsidRPr="00E54CBF" w:rsidRDefault="007A2E7C" w:rsidP="00260455">
      <w:pPr>
        <w:spacing w:line="360" w:lineRule="auto"/>
        <w:rPr>
          <w:rFonts w:ascii="Garamond" w:hAnsi="Garamond" w:cs="Times"/>
          <w:lang w:val="en-US"/>
        </w:rPr>
      </w:pPr>
    </w:p>
    <w:p w14:paraId="6FEF0D13" w14:textId="63D67E01" w:rsidR="00260455" w:rsidRPr="00E54CBF" w:rsidRDefault="00260455" w:rsidP="00260455">
      <w:pPr>
        <w:spacing w:line="360" w:lineRule="auto"/>
        <w:rPr>
          <w:rFonts w:ascii="Garamond" w:hAnsi="Garamond" w:cs="Times"/>
          <w:lang w:val="en-US"/>
        </w:rPr>
      </w:pPr>
      <w:r w:rsidRPr="00E54CBF">
        <w:rPr>
          <w:rFonts w:ascii="Garamond" w:hAnsi="Garamond" w:cs="Times"/>
          <w:lang w:val="en-US"/>
        </w:rPr>
        <w:t>[SLIDE: ORWELL QUOTATION]</w:t>
      </w:r>
    </w:p>
    <w:p w14:paraId="54401375" w14:textId="77777777" w:rsidR="007A2E7C" w:rsidRPr="00E54CBF" w:rsidRDefault="007A2E7C" w:rsidP="00260455">
      <w:pPr>
        <w:spacing w:line="360" w:lineRule="auto"/>
        <w:rPr>
          <w:rFonts w:ascii="Garamond" w:hAnsi="Garamond" w:cs="Times"/>
          <w:lang w:val="en-US"/>
        </w:rPr>
      </w:pPr>
    </w:p>
    <w:p w14:paraId="6F93B8B8" w14:textId="6A06CEAC" w:rsidR="00C65380" w:rsidRPr="00E54CBF" w:rsidRDefault="00C65380" w:rsidP="00CB72F5">
      <w:pPr>
        <w:ind w:left="720"/>
        <w:rPr>
          <w:rFonts w:ascii="Garamond" w:hAnsi="Garamond" w:cs="Times"/>
          <w:lang w:val="en-US"/>
        </w:rPr>
      </w:pPr>
      <w:r w:rsidRPr="00E54CBF">
        <w:rPr>
          <w:rFonts w:ascii="Garamond" w:hAnsi="Garamond" w:cs="Times"/>
          <w:lang w:val="en-US"/>
        </w:rPr>
        <w:t>[R]ead him for five pages, ten pages, and you feel the peculiar relief that comes not so much from unde</w:t>
      </w:r>
      <w:r w:rsidR="00033910" w:rsidRPr="00E54CBF">
        <w:rPr>
          <w:rFonts w:ascii="Garamond" w:hAnsi="Garamond" w:cs="Times"/>
          <w:lang w:val="en-US"/>
        </w:rPr>
        <w:t>r</w:t>
      </w:r>
      <w:r w:rsidRPr="00E54CBF">
        <w:rPr>
          <w:rFonts w:ascii="Garamond" w:hAnsi="Garamond" w:cs="Times"/>
          <w:lang w:val="en-US"/>
        </w:rPr>
        <w:t xml:space="preserve">standing as from </w:t>
      </w:r>
      <w:r w:rsidRPr="00E54CBF">
        <w:rPr>
          <w:rFonts w:ascii="Garamond" w:hAnsi="Garamond" w:cs="Times New Roman"/>
          <w:i/>
          <w:iCs/>
          <w:lang w:val="en-US"/>
        </w:rPr>
        <w:t>being understood</w:t>
      </w:r>
      <w:r w:rsidRPr="00E54CBF">
        <w:rPr>
          <w:rFonts w:ascii="Garamond" w:hAnsi="Garamond" w:cs="Times"/>
          <w:lang w:val="en-US"/>
        </w:rPr>
        <w:t>. 'He knows all about me,' you feel; 'he wrote this specially for me'. It is as though you could hear a voice speaking to you, a friendly American voice, with no humbug in it, no moral purpose, merely an implicit assumption that we are all alike. For the moment you have got away from the lies and simplifications, the stylized, marionette-like quality of ordinary fiction, even quite good fiction, and are dealing with the recognizable experiences of human beings.</w:t>
      </w:r>
    </w:p>
    <w:p w14:paraId="1935A0C2" w14:textId="77777777" w:rsidR="00C65380" w:rsidRPr="00E54CBF" w:rsidRDefault="00C65380" w:rsidP="00CB72F5">
      <w:pPr>
        <w:rPr>
          <w:rFonts w:ascii="Garamond" w:hAnsi="Garamond" w:cs="Times"/>
          <w:lang w:val="en-US"/>
        </w:rPr>
      </w:pPr>
    </w:p>
    <w:p w14:paraId="36ACD257" w14:textId="77777777" w:rsidR="00260455" w:rsidRPr="00E54CBF" w:rsidRDefault="00C65380" w:rsidP="00C33A21">
      <w:pPr>
        <w:spacing w:line="360" w:lineRule="auto"/>
        <w:rPr>
          <w:rFonts w:ascii="Garamond" w:hAnsi="Garamond" w:cs="Times"/>
          <w:lang w:val="en-US"/>
        </w:rPr>
      </w:pPr>
      <w:r w:rsidRPr="00E54CBF">
        <w:rPr>
          <w:rFonts w:ascii="Garamond" w:hAnsi="Garamond" w:cs="Times"/>
          <w:lang w:val="en-US"/>
        </w:rPr>
        <w:t xml:space="preserve">Orwell’s enthusiasm for the novel is never tempered by any concern with the way in which women are insulted, degraded, raped, robbed, and generally despised within its pages for no apparent reason other than visceral, irrational hatred. </w:t>
      </w:r>
    </w:p>
    <w:p w14:paraId="7F2B91FC" w14:textId="77777777" w:rsidR="00260455" w:rsidRPr="00E54CBF" w:rsidRDefault="00260455" w:rsidP="00C33A21">
      <w:pPr>
        <w:spacing w:line="360" w:lineRule="auto"/>
        <w:rPr>
          <w:rFonts w:ascii="Garamond" w:hAnsi="Garamond" w:cs="Times"/>
          <w:lang w:val="en-US"/>
        </w:rPr>
      </w:pPr>
    </w:p>
    <w:p w14:paraId="458C7B77" w14:textId="7DFEDD07" w:rsidR="00260455" w:rsidRPr="00E54CBF" w:rsidRDefault="00260455" w:rsidP="00C33A21">
      <w:pPr>
        <w:spacing w:line="360" w:lineRule="auto"/>
        <w:rPr>
          <w:rFonts w:ascii="Garamond" w:hAnsi="Garamond" w:cs="Times"/>
          <w:lang w:val="en-US"/>
        </w:rPr>
      </w:pPr>
      <w:r w:rsidRPr="00E54CBF">
        <w:rPr>
          <w:rFonts w:ascii="Garamond" w:hAnsi="Garamond" w:cs="Times"/>
          <w:lang w:val="en-US"/>
        </w:rPr>
        <w:t xml:space="preserve">[SLIDE: </w:t>
      </w:r>
      <w:r w:rsidR="007A039F" w:rsidRPr="00E54CBF">
        <w:rPr>
          <w:rFonts w:ascii="Garamond" w:hAnsi="Garamond" w:cs="Times"/>
          <w:lang w:val="en-US"/>
        </w:rPr>
        <w:t>FEMINST RESPONSES]</w:t>
      </w:r>
    </w:p>
    <w:p w14:paraId="0EB62D91" w14:textId="77777777" w:rsidR="007A039F" w:rsidRPr="00E54CBF" w:rsidRDefault="007A039F" w:rsidP="00C33A21">
      <w:pPr>
        <w:spacing w:line="360" w:lineRule="auto"/>
        <w:rPr>
          <w:rFonts w:ascii="Garamond" w:hAnsi="Garamond" w:cs="Times"/>
          <w:lang w:val="en-US"/>
        </w:rPr>
      </w:pPr>
    </w:p>
    <w:p w14:paraId="3964FA09" w14:textId="3BCF3D0E" w:rsidR="00C65380" w:rsidRPr="00E54CBF" w:rsidRDefault="00E852F2" w:rsidP="00C33A21">
      <w:pPr>
        <w:spacing w:line="360" w:lineRule="auto"/>
        <w:rPr>
          <w:rFonts w:ascii="Garamond" w:hAnsi="Garamond"/>
        </w:rPr>
      </w:pPr>
      <w:r w:rsidRPr="00E54CBF">
        <w:rPr>
          <w:rFonts w:ascii="Garamond" w:hAnsi="Garamond" w:cs="Times"/>
          <w:lang w:val="en-US"/>
        </w:rPr>
        <w:t>Kate Millett was the first feminist author to seriously take issue with Miller in her</w:t>
      </w:r>
      <w:r w:rsidR="00E739FB" w:rsidRPr="00E54CBF">
        <w:rPr>
          <w:rFonts w:ascii="Garamond" w:hAnsi="Garamond" w:cs="Times"/>
          <w:lang w:val="en-US"/>
        </w:rPr>
        <w:t xml:space="preserve"> book, </w:t>
      </w:r>
      <w:r w:rsidR="00E739FB" w:rsidRPr="00E54CBF">
        <w:rPr>
          <w:rFonts w:ascii="Garamond" w:hAnsi="Garamond" w:cs="Times"/>
          <w:i/>
          <w:lang w:val="en-US"/>
        </w:rPr>
        <w:t>Sexual Politics</w:t>
      </w:r>
      <w:r w:rsidR="00E739FB" w:rsidRPr="00E54CBF">
        <w:rPr>
          <w:rFonts w:ascii="Garamond" w:hAnsi="Garamond" w:cs="Times"/>
          <w:lang w:val="en-US"/>
        </w:rPr>
        <w:t xml:space="preserve"> (1970) and she argued that his attitude to women exemplified the assumption of many readers about</w:t>
      </w:r>
      <w:r w:rsidR="0093145D" w:rsidRPr="00E54CBF">
        <w:rPr>
          <w:rFonts w:ascii="Garamond" w:hAnsi="Garamond" w:cs="Times"/>
          <w:lang w:val="en-US"/>
        </w:rPr>
        <w:t xml:space="preserve"> how women should always be compliant </w:t>
      </w:r>
      <w:r w:rsidR="00E739FB" w:rsidRPr="00E54CBF">
        <w:rPr>
          <w:rFonts w:ascii="Garamond" w:hAnsi="Garamond" w:cs="Times"/>
          <w:lang w:val="en-US"/>
        </w:rPr>
        <w:t xml:space="preserve">in relation to men. Although widely read and praised, Millett’s work was also criticised by many, and in the twenty-first century books praising Miller’s ‘genius’ are still being published. However, feminist critiques of his writing are more thin on the ground. Jeanette Winterson, author of </w:t>
      </w:r>
      <w:r w:rsidR="00E739FB" w:rsidRPr="00E54CBF">
        <w:rPr>
          <w:rFonts w:ascii="Garamond" w:hAnsi="Garamond" w:cs="Times"/>
          <w:i/>
          <w:lang w:val="en-US"/>
        </w:rPr>
        <w:t>Oranges are Not the Only Fruit</w:t>
      </w:r>
      <w:r w:rsidR="00E739FB" w:rsidRPr="00E54CBF">
        <w:rPr>
          <w:rFonts w:ascii="Garamond" w:hAnsi="Garamond" w:cs="Times"/>
          <w:lang w:val="en-US"/>
        </w:rPr>
        <w:t xml:space="preserve"> (1985),</w:t>
      </w:r>
      <w:r w:rsidR="00033910" w:rsidRPr="00E54CBF">
        <w:rPr>
          <w:rFonts w:ascii="Garamond" w:hAnsi="Garamond" w:cs="Times"/>
          <w:lang w:val="en-US"/>
        </w:rPr>
        <w:t xml:space="preserve"> and more recently </w:t>
      </w:r>
      <w:r w:rsidR="00033910" w:rsidRPr="00E54CBF">
        <w:rPr>
          <w:rFonts w:ascii="Garamond" w:hAnsi="Garamond" w:cs="Times"/>
          <w:i/>
          <w:lang w:val="en-US"/>
        </w:rPr>
        <w:t>Why be happy when you could be normal?</w:t>
      </w:r>
      <w:r w:rsidR="00033910" w:rsidRPr="00E54CBF">
        <w:rPr>
          <w:rFonts w:ascii="Garamond" w:hAnsi="Garamond" w:cs="Times"/>
          <w:lang w:val="en-US"/>
        </w:rPr>
        <w:t>, a</w:t>
      </w:r>
      <w:r w:rsidR="00E739FB" w:rsidRPr="00E54CBF">
        <w:rPr>
          <w:rFonts w:ascii="Garamond" w:hAnsi="Garamond" w:cs="Times"/>
          <w:lang w:val="en-US"/>
        </w:rPr>
        <w:t xml:space="preserve"> novel</w:t>
      </w:r>
      <w:r w:rsidR="00033910" w:rsidRPr="00E54CBF">
        <w:rPr>
          <w:rFonts w:ascii="Garamond" w:hAnsi="Garamond" w:cs="Times"/>
          <w:lang w:val="en-US"/>
        </w:rPr>
        <w:t xml:space="preserve"> and memoir</w:t>
      </w:r>
      <w:r w:rsidR="0093145D" w:rsidRPr="00E54CBF">
        <w:rPr>
          <w:rFonts w:ascii="Garamond" w:hAnsi="Garamond" w:cs="Times"/>
          <w:lang w:val="en-US"/>
        </w:rPr>
        <w:t xml:space="preserve"> about a young girl growing up and discovering she’s a</w:t>
      </w:r>
      <w:r w:rsidR="00E739FB" w:rsidRPr="00E54CBF">
        <w:rPr>
          <w:rFonts w:ascii="Garamond" w:hAnsi="Garamond" w:cs="Times"/>
          <w:lang w:val="en-US"/>
        </w:rPr>
        <w:t xml:space="preserve"> lesbian in a fundamentalist Christian household,</w:t>
      </w:r>
      <w:r w:rsidR="0093145D" w:rsidRPr="00E54CBF">
        <w:rPr>
          <w:rFonts w:ascii="Garamond" w:hAnsi="Garamond" w:cs="Times"/>
          <w:lang w:val="en-US"/>
        </w:rPr>
        <w:t xml:space="preserve"> has provided the most articulate and compelling assessment of Miller that I have read. Here is an excerpt from her review of a book on Miller by Frederic Turner:</w:t>
      </w:r>
    </w:p>
    <w:p w14:paraId="18661137" w14:textId="77777777" w:rsidR="00033910" w:rsidRPr="00E54CBF" w:rsidRDefault="00033910" w:rsidP="007A039F">
      <w:pPr>
        <w:spacing w:line="360" w:lineRule="auto"/>
        <w:rPr>
          <w:rFonts w:ascii="Garamond" w:hAnsi="Garamond"/>
        </w:rPr>
      </w:pPr>
    </w:p>
    <w:p w14:paraId="112B4B50" w14:textId="7D507D91" w:rsidR="0093145D" w:rsidRPr="00E54CBF" w:rsidRDefault="007A039F" w:rsidP="007A039F">
      <w:pPr>
        <w:spacing w:line="360" w:lineRule="auto"/>
        <w:rPr>
          <w:rFonts w:ascii="Garamond" w:hAnsi="Garamond"/>
        </w:rPr>
      </w:pPr>
      <w:r w:rsidRPr="00E54CBF">
        <w:rPr>
          <w:rFonts w:ascii="Garamond" w:hAnsi="Garamond"/>
        </w:rPr>
        <w:t>[SLIDE: WINTERSON]</w:t>
      </w:r>
    </w:p>
    <w:p w14:paraId="5087810D" w14:textId="77777777" w:rsidR="000415F9" w:rsidRPr="00E54CBF" w:rsidRDefault="000415F9" w:rsidP="00CB72F5">
      <w:pPr>
        <w:ind w:left="720"/>
        <w:rPr>
          <w:rFonts w:ascii="Garamond" w:hAnsi="Garamond"/>
        </w:rPr>
      </w:pPr>
      <w:r w:rsidRPr="00E54CBF">
        <w:rPr>
          <w:rFonts w:ascii="Garamond" w:hAnsi="Garamond"/>
        </w:rPr>
        <w:t>It never occurred to him</w:t>
      </w:r>
      <w:r w:rsidR="005E6A2F" w:rsidRPr="00E54CBF">
        <w:rPr>
          <w:rFonts w:ascii="Garamond" w:hAnsi="Garamond"/>
        </w:rPr>
        <w:t xml:space="preserve"> [Miller]</w:t>
      </w:r>
      <w:r w:rsidRPr="00E54CBF">
        <w:rPr>
          <w:rFonts w:ascii="Garamond" w:hAnsi="Garamond"/>
        </w:rPr>
        <w:t xml:space="preserve"> that no matter how poor a man is, he can always buy a poorer woman for sex. It does not occur to Turner either, who calls Miller throughout a “sexual adventurer.” This sounds randy and swashbuckling and hides the economic reality of prostitution. Miller the renegade wanted his body slaves like any other capitalist – and as cheaply as possible. When he could not pay, Miller the man and Miller the fictional creation worked out how to cheat women with romance. What they could not buy they stole. No connection is made between woman as commodity and the “slaughterhouse” of capitalism that Miller hates. </w:t>
      </w:r>
    </w:p>
    <w:p w14:paraId="796EB971" w14:textId="77777777" w:rsidR="000415F9" w:rsidRPr="00E54CBF" w:rsidRDefault="000415F9" w:rsidP="00CB72F5">
      <w:pPr>
        <w:ind w:firstLine="720"/>
        <w:rPr>
          <w:rFonts w:ascii="Garamond" w:hAnsi="Garamond"/>
        </w:rPr>
      </w:pPr>
      <w:r w:rsidRPr="00E54CBF">
        <w:rPr>
          <w:rFonts w:ascii="Garamond" w:hAnsi="Garamond"/>
        </w:rPr>
        <w:t>[…]</w:t>
      </w:r>
    </w:p>
    <w:p w14:paraId="27CD2F92" w14:textId="77777777" w:rsidR="000415F9" w:rsidRPr="00E54CBF" w:rsidRDefault="000415F9" w:rsidP="00CB72F5">
      <w:pPr>
        <w:ind w:left="720"/>
        <w:rPr>
          <w:rFonts w:ascii="Garamond" w:hAnsi="Garamond"/>
        </w:rPr>
      </w:pPr>
      <w:r w:rsidRPr="00E54CBF">
        <w:rPr>
          <w:rFonts w:ascii="Garamond" w:hAnsi="Garamond"/>
        </w:rPr>
        <w:t>Well, what if we accept Turner’s assertion that “Cancer” has travelled from banned took to spiritual classic that tells us “who we are”? A reasonable objection is that “we” cannot include women, unless a woman is comfortable with her id</w:t>
      </w:r>
      <w:r w:rsidR="005E6A2F" w:rsidRPr="00E54CBF">
        <w:rPr>
          <w:rFonts w:ascii="Garamond" w:hAnsi="Garamond"/>
        </w:rPr>
        <w:t>entity as a half-witted “piece of tail.”</w:t>
      </w:r>
    </w:p>
    <w:p w14:paraId="05A6AFE9" w14:textId="77777777" w:rsidR="005E6A2F" w:rsidRPr="00E54CBF" w:rsidRDefault="005E6A2F" w:rsidP="00CB72F5">
      <w:pPr>
        <w:ind w:firstLine="720"/>
        <w:rPr>
          <w:rFonts w:ascii="Garamond" w:hAnsi="Garamond"/>
        </w:rPr>
      </w:pPr>
      <w:r w:rsidRPr="00E54CBF">
        <w:rPr>
          <w:rFonts w:ascii="Garamond" w:hAnsi="Garamond"/>
        </w:rPr>
        <w:t>[…]</w:t>
      </w:r>
    </w:p>
    <w:p w14:paraId="66B73623" w14:textId="77777777" w:rsidR="006F313A" w:rsidRPr="00E54CBF" w:rsidRDefault="000415F9" w:rsidP="00CB72F5">
      <w:pPr>
        <w:ind w:left="720"/>
        <w:rPr>
          <w:rFonts w:ascii="Garamond" w:hAnsi="Garamond"/>
        </w:rPr>
      </w:pPr>
      <w:r w:rsidRPr="00E54CBF">
        <w:rPr>
          <w:rFonts w:ascii="Garamond" w:hAnsi="Garamond"/>
        </w:rPr>
        <w:t>There is beauty as well as hatred in “Cancer,” and it deserves its place on the shelf. Yet the question is poses was stupidly buried under censorship in the 1930s, and gleefully swept aside in the permissiveness of the 1960s. Kate Millett asked the question in the 1970s, but the effort to ignore it is prodigious. A new round of mythmaking is ignoring it once more. The question is not art versus pornography or sexuality versus censorship or any question about achievement. The question is: Why do men revel in the degradation of women?</w:t>
      </w:r>
    </w:p>
    <w:p w14:paraId="5545FAA9" w14:textId="77777777" w:rsidR="0093145D" w:rsidRPr="00E54CBF" w:rsidRDefault="0093145D" w:rsidP="00CB72F5">
      <w:pPr>
        <w:ind w:left="720"/>
        <w:rPr>
          <w:rFonts w:ascii="Garamond" w:hAnsi="Garamond"/>
        </w:rPr>
      </w:pPr>
    </w:p>
    <w:p w14:paraId="1DA4DB45" w14:textId="58371C4F" w:rsidR="000415F9" w:rsidRPr="00E54CBF" w:rsidRDefault="005E6A2F" w:rsidP="00CB72F5">
      <w:pPr>
        <w:ind w:left="720"/>
        <w:rPr>
          <w:rFonts w:ascii="Garamond" w:hAnsi="Garamond"/>
          <w:i/>
        </w:rPr>
      </w:pPr>
      <w:r w:rsidRPr="00E54CBF">
        <w:rPr>
          <w:rFonts w:ascii="Garamond" w:hAnsi="Garamond"/>
        </w:rPr>
        <w:t xml:space="preserve">From a review of </w:t>
      </w:r>
      <w:r w:rsidRPr="00E54CBF">
        <w:rPr>
          <w:rFonts w:ascii="Garamond" w:hAnsi="Garamond"/>
          <w:i/>
        </w:rPr>
        <w:t xml:space="preserve">Renegade: Henry Miller and the Making of </w:t>
      </w:r>
      <w:r w:rsidRPr="00E54CBF">
        <w:rPr>
          <w:rFonts w:ascii="Garamond" w:hAnsi="Garamond"/>
        </w:rPr>
        <w:t>“Tropic of Cancer”, by Frederic Turner (Yale University Press, 2012)</w:t>
      </w:r>
    </w:p>
    <w:p w14:paraId="3FACCA3A" w14:textId="77777777" w:rsidR="007A039F" w:rsidRPr="00E54CBF" w:rsidRDefault="007A039F" w:rsidP="00C33A21">
      <w:pPr>
        <w:spacing w:line="360" w:lineRule="auto"/>
        <w:rPr>
          <w:rFonts w:ascii="Garamond" w:hAnsi="Garamond"/>
        </w:rPr>
      </w:pPr>
    </w:p>
    <w:p w14:paraId="247A5CFC" w14:textId="4A53CD0C" w:rsidR="00B21934" w:rsidRPr="00E54CBF" w:rsidRDefault="00B21934" w:rsidP="00C33A21">
      <w:pPr>
        <w:spacing w:line="360" w:lineRule="auto"/>
        <w:rPr>
          <w:rFonts w:ascii="Garamond" w:hAnsi="Garamond"/>
        </w:rPr>
      </w:pPr>
      <w:r w:rsidRPr="00E54CBF">
        <w:rPr>
          <w:rFonts w:ascii="Garamond" w:hAnsi="Garamond"/>
        </w:rPr>
        <w:lastRenderedPageBreak/>
        <w:t>So we see here, part of the task of feminism is to challenge the ideologies that lie behind literary expression. Here, Winterson is grappling with the question of how we deal ethically, as feminists, with texts of great literary merit. While some would say that literature, and especially great literature, holds a mirror up to the world and reflects what it contains, it is also necessary for reviewers to at least acknowledge and pore over the problematic nature of such representations rather than</w:t>
      </w:r>
      <w:r w:rsidR="007A06C9" w:rsidRPr="00E54CBF">
        <w:rPr>
          <w:rFonts w:ascii="Garamond" w:hAnsi="Garamond"/>
        </w:rPr>
        <w:t xml:space="preserve"> to offer unmitigated praise. [Example might be films that show extreme violence and sexual violence without offering commentary: directors argue that it is necessary to show what these things are actually </w:t>
      </w:r>
      <w:r w:rsidR="007A06C9" w:rsidRPr="00E54CBF">
        <w:rPr>
          <w:rFonts w:ascii="Garamond" w:hAnsi="Garamond"/>
          <w:i/>
        </w:rPr>
        <w:t>like</w:t>
      </w:r>
      <w:r w:rsidR="007A06C9" w:rsidRPr="00E54CBF">
        <w:rPr>
          <w:rFonts w:ascii="Garamond" w:hAnsi="Garamond"/>
        </w:rPr>
        <w:t xml:space="preserve"> rather than panning away.] </w:t>
      </w:r>
    </w:p>
    <w:p w14:paraId="6EAD2A38" w14:textId="77777777" w:rsidR="007A06C9" w:rsidRPr="00E54CBF" w:rsidRDefault="007A06C9" w:rsidP="00C33A21">
      <w:pPr>
        <w:spacing w:line="360" w:lineRule="auto"/>
        <w:rPr>
          <w:rFonts w:ascii="Garamond" w:hAnsi="Garamond"/>
        </w:rPr>
      </w:pPr>
    </w:p>
    <w:p w14:paraId="13EE1293" w14:textId="6A725827" w:rsidR="007A039F" w:rsidRPr="00E54CBF" w:rsidRDefault="007A039F" w:rsidP="00C33A21">
      <w:pPr>
        <w:spacing w:line="360" w:lineRule="auto"/>
        <w:rPr>
          <w:rFonts w:ascii="Garamond" w:hAnsi="Garamond"/>
        </w:rPr>
      </w:pPr>
      <w:r w:rsidRPr="00E54CBF">
        <w:rPr>
          <w:rFonts w:ascii="Garamond" w:hAnsi="Garamond"/>
        </w:rPr>
        <w:t>[SLIDE: Feminisms of difference]</w:t>
      </w:r>
    </w:p>
    <w:p w14:paraId="62D6E8C9" w14:textId="77777777" w:rsidR="007A039F" w:rsidRPr="00E54CBF" w:rsidRDefault="007A039F" w:rsidP="00C33A21">
      <w:pPr>
        <w:spacing w:line="360" w:lineRule="auto"/>
        <w:rPr>
          <w:rFonts w:ascii="Garamond" w:hAnsi="Garamond"/>
        </w:rPr>
      </w:pPr>
    </w:p>
    <w:p w14:paraId="3DEFF546" w14:textId="688DD02C" w:rsidR="000F7BE1" w:rsidRPr="00E54CBF" w:rsidRDefault="000F7BE1" w:rsidP="00C33A21">
      <w:pPr>
        <w:spacing w:line="360" w:lineRule="auto"/>
        <w:rPr>
          <w:rFonts w:ascii="Garamond" w:hAnsi="Garamond"/>
        </w:rPr>
      </w:pPr>
      <w:r w:rsidRPr="00E54CBF">
        <w:rPr>
          <w:rFonts w:ascii="Garamond" w:hAnsi="Garamond"/>
        </w:rPr>
        <w:t>‘</w:t>
      </w:r>
      <w:r w:rsidR="008A6FFD" w:rsidRPr="00E54CBF">
        <w:rPr>
          <w:rFonts w:ascii="Garamond" w:hAnsi="Garamond"/>
        </w:rPr>
        <w:t>French</w:t>
      </w:r>
      <w:r w:rsidRPr="00E54CBF">
        <w:rPr>
          <w:rFonts w:ascii="Garamond" w:hAnsi="Garamond"/>
        </w:rPr>
        <w:t>’</w:t>
      </w:r>
      <w:r w:rsidR="008A6FFD" w:rsidRPr="00E54CBF">
        <w:rPr>
          <w:rFonts w:ascii="Garamond" w:hAnsi="Garamond"/>
        </w:rPr>
        <w:t xml:space="preserve"> feminism, which might be better termed </w:t>
      </w:r>
      <w:r w:rsidRPr="00E54CBF">
        <w:rPr>
          <w:rFonts w:ascii="Garamond" w:hAnsi="Garamond"/>
        </w:rPr>
        <w:t>‘</w:t>
      </w:r>
      <w:r w:rsidR="008A6FFD" w:rsidRPr="00E54CBF">
        <w:rPr>
          <w:rFonts w:ascii="Garamond" w:hAnsi="Garamond"/>
        </w:rPr>
        <w:t>feminism(s</w:t>
      </w:r>
      <w:r w:rsidR="004332A5" w:rsidRPr="00E54CBF">
        <w:rPr>
          <w:rFonts w:ascii="Garamond" w:hAnsi="Garamond"/>
        </w:rPr>
        <w:t>) of difference</w:t>
      </w:r>
      <w:r w:rsidRPr="00E54CBF">
        <w:rPr>
          <w:rFonts w:ascii="Garamond" w:hAnsi="Garamond"/>
        </w:rPr>
        <w:t>,’</w:t>
      </w:r>
      <w:r w:rsidR="004332A5" w:rsidRPr="00E54CBF">
        <w:rPr>
          <w:rFonts w:ascii="Garamond" w:hAnsi="Garamond"/>
        </w:rPr>
        <w:t xml:space="preserve"> scrutinises</w:t>
      </w:r>
      <w:r w:rsidR="001A468B" w:rsidRPr="00E54CBF">
        <w:rPr>
          <w:rFonts w:ascii="Garamond" w:hAnsi="Garamond"/>
        </w:rPr>
        <w:t xml:space="preserve"> in a more philosophical sense</w:t>
      </w:r>
      <w:r w:rsidR="004332A5" w:rsidRPr="00E54CBF">
        <w:rPr>
          <w:rFonts w:ascii="Garamond" w:hAnsi="Garamond"/>
        </w:rPr>
        <w:t xml:space="preserve"> the role of </w:t>
      </w:r>
      <w:r w:rsidR="004332A5" w:rsidRPr="00E54CBF">
        <w:rPr>
          <w:rFonts w:ascii="Garamond" w:hAnsi="Garamond"/>
          <w:i/>
        </w:rPr>
        <w:t>language</w:t>
      </w:r>
      <w:r w:rsidR="004332A5" w:rsidRPr="00E54CBF">
        <w:rPr>
          <w:rFonts w:ascii="Garamond" w:hAnsi="Garamond"/>
        </w:rPr>
        <w:t xml:space="preserve"> in constructing categories such as woman/man, female/male, feminine/masculine that are then assumed to be both stable and ‘natural’. T</w:t>
      </w:r>
      <w:r w:rsidR="001A468B" w:rsidRPr="00E54CBF">
        <w:rPr>
          <w:rFonts w:ascii="Garamond" w:hAnsi="Garamond"/>
        </w:rPr>
        <w:t xml:space="preserve">o take just one example of how this functions and can be applied to a literary text, the </w:t>
      </w:r>
      <w:r w:rsidR="008716FF" w:rsidRPr="00E54CBF">
        <w:rPr>
          <w:rFonts w:ascii="Garamond" w:hAnsi="Garamond"/>
        </w:rPr>
        <w:t xml:space="preserve">Belgian-born </w:t>
      </w:r>
      <w:r w:rsidR="001A468B" w:rsidRPr="00E54CBF">
        <w:rPr>
          <w:rFonts w:ascii="Garamond" w:hAnsi="Garamond"/>
        </w:rPr>
        <w:t>psychoanalyst and philosopher Luce Irigaray</w:t>
      </w:r>
      <w:r w:rsidR="008716FF" w:rsidRPr="00E54CBF">
        <w:rPr>
          <w:rFonts w:ascii="Garamond" w:hAnsi="Garamond"/>
        </w:rPr>
        <w:t xml:space="preserve"> </w:t>
      </w:r>
      <w:r w:rsidR="00F838E7" w:rsidRPr="00E54CBF">
        <w:rPr>
          <w:rFonts w:ascii="Garamond" w:hAnsi="Garamond"/>
        </w:rPr>
        <w:t xml:space="preserve">wrote a book called </w:t>
      </w:r>
      <w:r w:rsidR="00F838E7" w:rsidRPr="00E54CBF">
        <w:rPr>
          <w:rFonts w:ascii="Garamond" w:hAnsi="Garamond"/>
          <w:i/>
        </w:rPr>
        <w:t>Speculum de l’autre femme</w:t>
      </w:r>
      <w:r w:rsidR="00652C1F" w:rsidRPr="00E54CBF">
        <w:rPr>
          <w:rFonts w:ascii="Garamond" w:hAnsi="Garamond"/>
        </w:rPr>
        <w:t xml:space="preserve"> (1974),</w:t>
      </w:r>
      <w:r w:rsidR="00F838E7" w:rsidRPr="00E54CBF">
        <w:rPr>
          <w:rFonts w:ascii="Garamond" w:hAnsi="Garamond"/>
        </w:rPr>
        <w:t xml:space="preserve"> which</w:t>
      </w:r>
      <w:r w:rsidRPr="00E54CBF">
        <w:rPr>
          <w:rFonts w:ascii="Garamond" w:hAnsi="Garamond"/>
        </w:rPr>
        <w:t>,</w:t>
      </w:r>
      <w:r w:rsidR="00F838E7" w:rsidRPr="00E54CBF">
        <w:rPr>
          <w:rFonts w:ascii="Garamond" w:hAnsi="Garamond"/>
        </w:rPr>
        <w:t xml:space="preserve"> using</w:t>
      </w:r>
      <w:r w:rsidRPr="00E54CBF">
        <w:rPr>
          <w:rFonts w:ascii="Garamond" w:hAnsi="Garamond"/>
        </w:rPr>
        <w:t xml:space="preserve"> the metaphor of a speculum (an</w:t>
      </w:r>
      <w:r w:rsidR="00F838E7" w:rsidRPr="00E54CBF">
        <w:rPr>
          <w:rFonts w:ascii="Garamond" w:hAnsi="Garamond"/>
        </w:rPr>
        <w:t xml:space="preserve"> instrument used by doctors t</w:t>
      </w:r>
      <w:r w:rsidRPr="00E54CBF">
        <w:rPr>
          <w:rFonts w:ascii="Garamond" w:hAnsi="Garamond"/>
        </w:rPr>
        <w:t>o perform internal examinations)</w:t>
      </w:r>
      <w:r w:rsidR="00F838E7" w:rsidRPr="00E54CBF">
        <w:rPr>
          <w:rFonts w:ascii="Garamond" w:hAnsi="Garamond"/>
        </w:rPr>
        <w:t xml:space="preserve"> examines the nature and status of womanhood and femininity in Western philosophical discourse. Irigaray argues that philosophical thought is dominated by a logic of dichotomous oppositions, for example Presence/Absence, Truth/Error, Same/Other, Identity/Difference, and that these oppositions also represent hierarchies (rather than being equal opposites). Logically, therefore, the opposition male/female or masculine/feminine is a hierarchical one in which the female/feminine represents the negative</w:t>
      </w:r>
      <w:r w:rsidR="008716FF" w:rsidRPr="00E54CBF">
        <w:rPr>
          <w:rFonts w:ascii="Garamond" w:hAnsi="Garamond"/>
        </w:rPr>
        <w:t xml:space="preserve"> and the ‘other’ to man. Irigaray sets about trying to question whether it is possible to imagine femininity in positive terms, and to pinpoint the </w:t>
      </w:r>
      <w:r w:rsidR="008716FF" w:rsidRPr="00E54CBF">
        <w:rPr>
          <w:rFonts w:ascii="Garamond" w:hAnsi="Garamond"/>
          <w:i/>
        </w:rPr>
        <w:t>specificity</w:t>
      </w:r>
      <w:r w:rsidR="008716FF" w:rsidRPr="00E54CBF">
        <w:rPr>
          <w:rFonts w:ascii="Garamond" w:hAnsi="Garamond"/>
        </w:rPr>
        <w:t xml:space="preserve"> of femininity in psychoanalytical terms, in radical rejection of its status as a lack, or castrated version of the </w:t>
      </w:r>
      <w:r w:rsidRPr="00E54CBF">
        <w:rPr>
          <w:rFonts w:ascii="Garamond" w:hAnsi="Garamond"/>
        </w:rPr>
        <w:t>masculine subject</w:t>
      </w:r>
      <w:r w:rsidR="008716FF" w:rsidRPr="00E54CBF">
        <w:rPr>
          <w:rFonts w:ascii="Garamond" w:hAnsi="Garamond"/>
        </w:rPr>
        <w:t xml:space="preserve">. She wants to see how women, and the feminine, might be construed as a </w:t>
      </w:r>
      <w:r w:rsidR="008716FF" w:rsidRPr="00E54CBF">
        <w:rPr>
          <w:rFonts w:ascii="Garamond" w:hAnsi="Garamond"/>
          <w:i/>
        </w:rPr>
        <w:t>presence</w:t>
      </w:r>
      <w:r w:rsidR="008716FF" w:rsidRPr="00E54CBF">
        <w:rPr>
          <w:rFonts w:ascii="Garamond" w:hAnsi="Garamond"/>
        </w:rPr>
        <w:t xml:space="preserve"> rather than an </w:t>
      </w:r>
      <w:r w:rsidR="008716FF" w:rsidRPr="00E54CBF">
        <w:rPr>
          <w:rFonts w:ascii="Garamond" w:hAnsi="Garamond"/>
          <w:i/>
        </w:rPr>
        <w:t>absence</w:t>
      </w:r>
      <w:r w:rsidR="008716FF" w:rsidRPr="00E54CBF">
        <w:rPr>
          <w:rFonts w:ascii="Garamond" w:hAnsi="Garamond"/>
        </w:rPr>
        <w:t>.</w:t>
      </w:r>
    </w:p>
    <w:p w14:paraId="23781562" w14:textId="77777777" w:rsidR="00652C1F" w:rsidRPr="00E54CBF" w:rsidRDefault="00652C1F" w:rsidP="00C33A21">
      <w:pPr>
        <w:spacing w:line="360" w:lineRule="auto"/>
        <w:rPr>
          <w:rFonts w:ascii="Garamond" w:hAnsi="Garamond"/>
        </w:rPr>
      </w:pPr>
    </w:p>
    <w:p w14:paraId="5B939291" w14:textId="7A7F43DA" w:rsidR="008716FF" w:rsidRPr="00E54CBF" w:rsidRDefault="008716FF" w:rsidP="00C33A21">
      <w:pPr>
        <w:spacing w:line="360" w:lineRule="auto"/>
        <w:rPr>
          <w:rFonts w:ascii="Garamond" w:hAnsi="Garamond"/>
        </w:rPr>
      </w:pPr>
      <w:r w:rsidRPr="00E54CBF">
        <w:rPr>
          <w:rFonts w:ascii="Garamond" w:hAnsi="Garamond"/>
        </w:rPr>
        <w:t xml:space="preserve">So how can these ideas be usefully applied to a literary text? The critic Shoshana Felman, although </w:t>
      </w:r>
      <w:r w:rsidR="004D05FD" w:rsidRPr="00E54CBF">
        <w:rPr>
          <w:rFonts w:ascii="Garamond" w:hAnsi="Garamond"/>
        </w:rPr>
        <w:t xml:space="preserve">American (just to confuse you!) has used Lacanian psychoanalysis as well as ‘French’ feminism (notably, Irigaray) in a very influential way. An example of this is her radical and polemical reading of Balzac’s novella </w:t>
      </w:r>
      <w:r w:rsidR="004D05FD" w:rsidRPr="00E54CBF">
        <w:rPr>
          <w:rFonts w:ascii="Garamond" w:hAnsi="Garamond"/>
          <w:i/>
        </w:rPr>
        <w:t>Adieu</w:t>
      </w:r>
      <w:r w:rsidR="004D05FD" w:rsidRPr="00E54CBF">
        <w:rPr>
          <w:rFonts w:ascii="Garamond" w:hAnsi="Garamond"/>
        </w:rPr>
        <w:t xml:space="preserve"> (1830) in a review article from </w:t>
      </w:r>
      <w:r w:rsidR="004D05FD" w:rsidRPr="00E54CBF">
        <w:rPr>
          <w:rFonts w:ascii="Garamond" w:hAnsi="Garamond"/>
        </w:rPr>
        <w:lastRenderedPageBreak/>
        <w:t xml:space="preserve">1974, entitled ‘Women and Madness: The Critical Phallacy’. </w:t>
      </w:r>
      <w:r w:rsidR="004D05FD" w:rsidRPr="00E54CBF">
        <w:rPr>
          <w:rFonts w:ascii="Garamond" w:hAnsi="Garamond"/>
          <w:i/>
        </w:rPr>
        <w:t>Adieu</w:t>
      </w:r>
      <w:r w:rsidR="004D05FD" w:rsidRPr="00E54CBF">
        <w:rPr>
          <w:rFonts w:ascii="Garamond" w:hAnsi="Garamond"/>
        </w:rPr>
        <w:t xml:space="preserve"> is a story about a soldier, Philippe de Sucy, returning from the Napoleonic wars. He happens upon his former lover, a beautiful young woman who has apparently gone mad and does not recognise him. After the trauma of their separation at the </w:t>
      </w:r>
      <w:r w:rsidR="007A06C9" w:rsidRPr="00E54CBF">
        <w:rPr>
          <w:rFonts w:ascii="Garamond" w:hAnsi="Garamond"/>
        </w:rPr>
        <w:t>disastrous</w:t>
      </w:r>
      <w:r w:rsidR="004D05FD" w:rsidRPr="00E54CBF">
        <w:rPr>
          <w:rFonts w:ascii="Garamond" w:hAnsi="Garamond"/>
        </w:rPr>
        <w:t xml:space="preserve"> crossing of the Beresina river in Russia, she is left only able to utter the single word ‘Adieu’. The story revolves around</w:t>
      </w:r>
      <w:r w:rsidR="000F7BE1" w:rsidRPr="00E54CBF">
        <w:rPr>
          <w:rFonts w:ascii="Garamond" w:hAnsi="Garamond"/>
        </w:rPr>
        <w:t xml:space="preserve"> Philippe’s attempt to cure Stéphanie’s madness, but ends tragically. The story has been traditionally read as an important text of literary realism because of the long, detailed description of the war contained in the middle of the novel. Feminist critics such as Felman, however, believe that this emphasis sidelines and silences the importance of the female characters in the novel.</w:t>
      </w:r>
    </w:p>
    <w:p w14:paraId="0BDA327C" w14:textId="77777777" w:rsidR="000F7BE1" w:rsidRPr="00E54CBF" w:rsidRDefault="000F7BE1" w:rsidP="00C33A21">
      <w:pPr>
        <w:spacing w:line="360" w:lineRule="auto"/>
        <w:rPr>
          <w:rFonts w:ascii="Garamond" w:hAnsi="Garamond"/>
        </w:rPr>
      </w:pPr>
    </w:p>
    <w:p w14:paraId="3424BCEB" w14:textId="5FC5C841" w:rsidR="004D05FD" w:rsidRPr="00E54CBF" w:rsidRDefault="004D05FD" w:rsidP="00C33A21">
      <w:pPr>
        <w:spacing w:line="360" w:lineRule="auto"/>
        <w:rPr>
          <w:rFonts w:ascii="Garamond" w:hAnsi="Garamond"/>
        </w:rPr>
      </w:pPr>
      <w:r w:rsidRPr="00E54CBF">
        <w:rPr>
          <w:rFonts w:ascii="Garamond" w:hAnsi="Garamond"/>
        </w:rPr>
        <w:t xml:space="preserve">Felman offers instead a reading of female madness in the novel as undermining the model of Realism the middle section appears to exemplify. Felman argues that </w:t>
      </w:r>
      <w:r w:rsidR="007A06C9" w:rsidRPr="00E54CBF">
        <w:rPr>
          <w:rFonts w:ascii="Garamond" w:hAnsi="Garamond"/>
          <w:i/>
        </w:rPr>
        <w:t>Adieu</w:t>
      </w:r>
      <w:r w:rsidRPr="00E54CBF">
        <w:rPr>
          <w:rFonts w:ascii="Garamond" w:hAnsi="Garamond"/>
        </w:rPr>
        <w:t xml:space="preserve"> is constructed around the issue of Stéphanie’s recognition of Philippe, and that: ‘The dichotomy Reason/Madness, as well as Speech/Silence, exactly coincides in this text with the dichotomy Men/Women.’ She brilliantly analyzes the paradox</w:t>
      </w:r>
      <w:r w:rsidR="000F7BE1" w:rsidRPr="00E54CBF">
        <w:rPr>
          <w:rFonts w:ascii="Garamond" w:hAnsi="Garamond"/>
        </w:rPr>
        <w:t xml:space="preserve"> </w:t>
      </w:r>
      <w:r w:rsidRPr="00E54CBF">
        <w:rPr>
          <w:rFonts w:ascii="Garamond" w:hAnsi="Garamond"/>
        </w:rPr>
        <w:t>at the heart of the typical r</w:t>
      </w:r>
      <w:r w:rsidR="000F7BE1" w:rsidRPr="00E54CBF">
        <w:rPr>
          <w:rFonts w:ascii="Garamond" w:hAnsi="Garamond"/>
        </w:rPr>
        <w:t>epresentation of female madness;</w:t>
      </w:r>
      <w:r w:rsidRPr="00E54CBF">
        <w:rPr>
          <w:rFonts w:ascii="Garamond" w:hAnsi="Garamond"/>
        </w:rPr>
        <w:t xml:space="preserve"> namely</w:t>
      </w:r>
      <w:r w:rsidR="000F7BE1" w:rsidRPr="00E54CBF">
        <w:rPr>
          <w:rFonts w:ascii="Garamond" w:hAnsi="Garamond"/>
        </w:rPr>
        <w:t>,</w:t>
      </w:r>
      <w:r w:rsidRPr="00E54CBF">
        <w:rPr>
          <w:rFonts w:ascii="Garamond" w:hAnsi="Garamond"/>
        </w:rPr>
        <w:t xml:space="preserve"> that woman ‘is’ madness, and yet madness is also the absence of womanhood, exemplified in </w:t>
      </w:r>
      <w:r w:rsidRPr="00E54CBF">
        <w:rPr>
          <w:rFonts w:ascii="Garamond" w:hAnsi="Garamond"/>
          <w:i/>
        </w:rPr>
        <w:t xml:space="preserve">Adieu </w:t>
      </w:r>
      <w:r w:rsidRPr="00E54CBF">
        <w:rPr>
          <w:rFonts w:ascii="Garamond" w:hAnsi="Garamond"/>
        </w:rPr>
        <w:t xml:space="preserve">by Philippe mourning Stéphanie’s apparent loss of normal feminine traits in observing that she behaves like a child, or an animal. </w:t>
      </w:r>
    </w:p>
    <w:p w14:paraId="3085C4B8" w14:textId="77777777" w:rsidR="008716FF" w:rsidRPr="00E54CBF" w:rsidRDefault="008716FF" w:rsidP="00C33A21">
      <w:pPr>
        <w:spacing w:line="360" w:lineRule="auto"/>
        <w:rPr>
          <w:rFonts w:ascii="Garamond" w:hAnsi="Garamond"/>
        </w:rPr>
      </w:pPr>
      <w:bookmarkStart w:id="0" w:name="_GoBack"/>
      <w:bookmarkEnd w:id="0"/>
    </w:p>
    <w:p w14:paraId="69AD5F6D" w14:textId="3B32D4D4" w:rsidR="007A039F" w:rsidRDefault="007A039F" w:rsidP="00C33A21">
      <w:pPr>
        <w:spacing w:line="360" w:lineRule="auto"/>
        <w:rPr>
          <w:rFonts w:ascii="Garamond" w:hAnsi="Garamond"/>
        </w:rPr>
      </w:pPr>
      <w:r w:rsidRPr="00E54CBF">
        <w:rPr>
          <w:rFonts w:ascii="Garamond" w:hAnsi="Garamond"/>
        </w:rPr>
        <w:t>[SLIDE 12]</w:t>
      </w:r>
    </w:p>
    <w:p w14:paraId="52A326EA" w14:textId="77777777" w:rsidR="00E54CBF" w:rsidRPr="00E54CBF" w:rsidRDefault="00E54CBF" w:rsidP="00C33A21">
      <w:pPr>
        <w:spacing w:line="360" w:lineRule="auto"/>
        <w:rPr>
          <w:rFonts w:ascii="Garamond" w:hAnsi="Garamond"/>
        </w:rPr>
      </w:pPr>
    </w:p>
    <w:p w14:paraId="3582AC3A" w14:textId="7115FB38" w:rsidR="00536C3B" w:rsidRPr="00E54CBF" w:rsidRDefault="000F7BE1" w:rsidP="00C33A21">
      <w:pPr>
        <w:spacing w:line="360" w:lineRule="auto"/>
        <w:rPr>
          <w:rFonts w:ascii="Garamond" w:hAnsi="Garamond"/>
        </w:rPr>
      </w:pPr>
      <w:r w:rsidRPr="00E54CBF">
        <w:rPr>
          <w:rFonts w:ascii="Garamond" w:hAnsi="Garamond"/>
        </w:rPr>
        <w:t>2. Gay/lesbian criticism and Queer theory</w:t>
      </w:r>
    </w:p>
    <w:p w14:paraId="6F8CEBD8" w14:textId="77777777" w:rsidR="00536C3B" w:rsidRPr="00E54CBF" w:rsidRDefault="00536C3B" w:rsidP="00C33A21">
      <w:pPr>
        <w:spacing w:line="360" w:lineRule="auto"/>
        <w:rPr>
          <w:rFonts w:ascii="Garamond" w:hAnsi="Garamond"/>
        </w:rPr>
      </w:pPr>
    </w:p>
    <w:p w14:paraId="0C40A2B3" w14:textId="0A1CCF7D" w:rsidR="00536C3B" w:rsidRPr="00E54CBF" w:rsidRDefault="00536C3B" w:rsidP="00C33A21">
      <w:pPr>
        <w:spacing w:line="360" w:lineRule="auto"/>
        <w:rPr>
          <w:rFonts w:ascii="Garamond" w:hAnsi="Garamond"/>
        </w:rPr>
      </w:pPr>
      <w:r w:rsidRPr="00E54CBF">
        <w:rPr>
          <w:rFonts w:ascii="Garamond" w:hAnsi="Garamond"/>
        </w:rPr>
        <w:t>I’m going to begin by reiterating something obvious, but necessary, pointed out by Peter Barry in his introduction to theory:</w:t>
      </w:r>
    </w:p>
    <w:p w14:paraId="4FC4F531" w14:textId="77777777" w:rsidR="000F7BE1" w:rsidRPr="00E54CBF" w:rsidRDefault="000F7BE1" w:rsidP="00C33A21">
      <w:pPr>
        <w:spacing w:line="360" w:lineRule="auto"/>
        <w:rPr>
          <w:rFonts w:ascii="Garamond" w:hAnsi="Garamond"/>
        </w:rPr>
      </w:pPr>
    </w:p>
    <w:p w14:paraId="41D4FB3C" w14:textId="680EB24B" w:rsidR="005F2E4A" w:rsidRPr="00E54CBF" w:rsidRDefault="005F2E4A" w:rsidP="00CB72F5">
      <w:pPr>
        <w:widowControl w:val="0"/>
        <w:autoSpaceDE w:val="0"/>
        <w:autoSpaceDN w:val="0"/>
        <w:adjustRightInd w:val="0"/>
        <w:spacing w:after="240"/>
        <w:ind w:left="720"/>
        <w:rPr>
          <w:rFonts w:ascii="Garamond" w:hAnsi="Garamond" w:cs="Times"/>
          <w:lang w:val="en-US"/>
        </w:rPr>
      </w:pPr>
      <w:r w:rsidRPr="00E54CBF">
        <w:rPr>
          <w:rFonts w:ascii="Garamond" w:hAnsi="Garamond" w:cs="Times"/>
          <w:lang w:val="en-US"/>
        </w:rPr>
        <w:t>It is obvious that not all literary criticism written by women is feminist; that not all books about women writers are feminist; that feminist writing need not be by women, and that feminist criticism is not directed exclusively at a female readership. Likewise, books about gay writers, or by gay critics, are not necessarily part of lesbian and gay studies, nor are books that are part of this field directed solely at a gay readership or relevant only to gay sexuality.</w:t>
      </w:r>
    </w:p>
    <w:p w14:paraId="16DAD3E5" w14:textId="7AE477E3" w:rsidR="005F2E4A" w:rsidRPr="00E54CBF" w:rsidRDefault="005F2E4A" w:rsidP="00CB72F5">
      <w:pPr>
        <w:widowControl w:val="0"/>
        <w:autoSpaceDE w:val="0"/>
        <w:autoSpaceDN w:val="0"/>
        <w:adjustRightInd w:val="0"/>
        <w:spacing w:after="240"/>
        <w:ind w:left="720"/>
        <w:jc w:val="right"/>
        <w:rPr>
          <w:rFonts w:ascii="Garamond" w:hAnsi="Garamond" w:cs="Times"/>
          <w:lang w:val="en-US"/>
        </w:rPr>
      </w:pPr>
      <w:r w:rsidRPr="00E54CBF">
        <w:rPr>
          <w:rFonts w:ascii="Garamond" w:hAnsi="Garamond" w:cs="Times"/>
          <w:lang w:val="en-US"/>
        </w:rPr>
        <w:t xml:space="preserve">From Peter Barry, </w:t>
      </w:r>
      <w:r w:rsidRPr="00E54CBF">
        <w:rPr>
          <w:rFonts w:ascii="Garamond" w:hAnsi="Garamond" w:cs="Times"/>
          <w:i/>
          <w:lang w:val="en-US"/>
        </w:rPr>
        <w:t>Beginning Theory</w:t>
      </w:r>
      <w:r w:rsidRPr="00E54CBF">
        <w:rPr>
          <w:rFonts w:ascii="Garamond" w:hAnsi="Garamond" w:cs="Times"/>
          <w:lang w:val="en-US"/>
        </w:rPr>
        <w:t xml:space="preserve"> (2002)</w:t>
      </w:r>
    </w:p>
    <w:p w14:paraId="3B560FE6" w14:textId="45D55958" w:rsidR="005F2E4A" w:rsidRPr="00E54CBF" w:rsidRDefault="00536C3B" w:rsidP="00C33A21">
      <w:pPr>
        <w:spacing w:line="360" w:lineRule="auto"/>
        <w:rPr>
          <w:rFonts w:ascii="Garamond" w:hAnsi="Garamond"/>
        </w:rPr>
      </w:pPr>
      <w:r w:rsidRPr="00E54CBF">
        <w:rPr>
          <w:rFonts w:ascii="Garamond" w:hAnsi="Garamond"/>
        </w:rPr>
        <w:lastRenderedPageBreak/>
        <w:t xml:space="preserve">What lesbian and gay studies does is to establish the centrality of sexuality or sexual orientation as a subject of study in the same way that the concept of womanhood or the representation of women is central to feminist studies. It is not necessarily about reading books by gay writers. </w:t>
      </w:r>
    </w:p>
    <w:p w14:paraId="6FACC25E" w14:textId="77777777" w:rsidR="005F2E4A" w:rsidRPr="00E54CBF" w:rsidRDefault="005F2E4A" w:rsidP="00C33A21">
      <w:pPr>
        <w:spacing w:line="360" w:lineRule="auto"/>
        <w:rPr>
          <w:rFonts w:ascii="Garamond" w:hAnsi="Garamond"/>
        </w:rPr>
      </w:pPr>
    </w:p>
    <w:p w14:paraId="281BA900" w14:textId="77777777" w:rsidR="007A039F" w:rsidRDefault="000F7BE1" w:rsidP="00C33A21">
      <w:pPr>
        <w:spacing w:line="360" w:lineRule="auto"/>
        <w:rPr>
          <w:rFonts w:ascii="Garamond" w:hAnsi="Garamond"/>
        </w:rPr>
      </w:pPr>
      <w:r w:rsidRPr="00E54CBF">
        <w:rPr>
          <w:rFonts w:ascii="Garamond" w:hAnsi="Garamond"/>
        </w:rPr>
        <w:t xml:space="preserve">One outgrowth of the 1960s women’s movement was that of radical lesbianism, and this </w:t>
      </w:r>
      <w:r w:rsidR="00536C3B" w:rsidRPr="00E54CBF">
        <w:rPr>
          <w:rFonts w:ascii="Garamond" w:hAnsi="Garamond"/>
        </w:rPr>
        <w:t>came about as a response to the perceived assumption among feminists of a single ‘type’ of woman</w:t>
      </w:r>
      <w:r w:rsidR="008E040D" w:rsidRPr="00E54CBF">
        <w:rPr>
          <w:rFonts w:ascii="Garamond" w:hAnsi="Garamond"/>
        </w:rPr>
        <w:t xml:space="preserve">, and therefore that one of the shortfalls of feminist theory as it stood was its underlying essentialism (in other words, an unexpressed and possibly unquestioning belief in the stable and unchanging category of ‘woman’). </w:t>
      </w:r>
    </w:p>
    <w:p w14:paraId="5818B15A" w14:textId="77777777" w:rsidR="00E54CBF" w:rsidRPr="00E54CBF" w:rsidRDefault="00E54CBF" w:rsidP="00C33A21">
      <w:pPr>
        <w:spacing w:line="360" w:lineRule="auto"/>
        <w:rPr>
          <w:rFonts w:ascii="Garamond" w:hAnsi="Garamond"/>
        </w:rPr>
      </w:pPr>
    </w:p>
    <w:p w14:paraId="55B604DB" w14:textId="42E53281" w:rsidR="007A039F" w:rsidRDefault="007A039F" w:rsidP="00C33A21">
      <w:pPr>
        <w:spacing w:line="360" w:lineRule="auto"/>
        <w:rPr>
          <w:rFonts w:ascii="Garamond" w:hAnsi="Garamond"/>
        </w:rPr>
      </w:pPr>
      <w:r w:rsidRPr="00E54CBF">
        <w:rPr>
          <w:rFonts w:ascii="Garamond" w:hAnsi="Garamond"/>
        </w:rPr>
        <w:t>[SLIDE 13]</w:t>
      </w:r>
    </w:p>
    <w:p w14:paraId="4658BB70" w14:textId="77777777" w:rsidR="00E54CBF" w:rsidRPr="00E54CBF" w:rsidRDefault="00E54CBF" w:rsidP="00C33A21">
      <w:pPr>
        <w:spacing w:line="360" w:lineRule="auto"/>
        <w:rPr>
          <w:rFonts w:ascii="Garamond" w:hAnsi="Garamond"/>
        </w:rPr>
      </w:pPr>
    </w:p>
    <w:p w14:paraId="48BEF2CC" w14:textId="482F32A0" w:rsidR="000F7BE1" w:rsidRPr="00E54CBF" w:rsidRDefault="008E040D" w:rsidP="00C33A21">
      <w:pPr>
        <w:spacing w:line="360" w:lineRule="auto"/>
        <w:rPr>
          <w:rFonts w:ascii="Garamond" w:hAnsi="Garamond"/>
        </w:rPr>
      </w:pPr>
      <w:r w:rsidRPr="00E54CBF">
        <w:rPr>
          <w:rFonts w:ascii="Garamond" w:hAnsi="Garamond"/>
        </w:rPr>
        <w:t xml:space="preserve">Out of the feminist critique of traditional gender roles came a more general attack on the concept of </w:t>
      </w:r>
      <w:r w:rsidRPr="00E54CBF">
        <w:rPr>
          <w:rFonts w:ascii="Garamond" w:hAnsi="Garamond"/>
          <w:i/>
        </w:rPr>
        <w:t>heteronormativity</w:t>
      </w:r>
      <w:r w:rsidRPr="00E54CBF">
        <w:rPr>
          <w:rFonts w:ascii="Garamond" w:hAnsi="Garamond"/>
        </w:rPr>
        <w:t xml:space="preserve">, the idea that there should a strong consistency between an individual’s biological sex, gender identity, sexuality and gender role. And the correlative of this is the idea that to be ‘normal’ is to </w:t>
      </w:r>
      <w:r w:rsidR="009F1FD5" w:rsidRPr="00E54CBF">
        <w:rPr>
          <w:rFonts w:ascii="Garamond" w:hAnsi="Garamond"/>
        </w:rPr>
        <w:t>experience this alignment.</w:t>
      </w:r>
    </w:p>
    <w:p w14:paraId="555A9712" w14:textId="77777777" w:rsidR="009F1FD5" w:rsidRPr="00E54CBF" w:rsidRDefault="009F1FD5" w:rsidP="00C33A21">
      <w:pPr>
        <w:spacing w:line="360" w:lineRule="auto"/>
        <w:rPr>
          <w:rFonts w:ascii="Garamond" w:hAnsi="Garamond"/>
        </w:rPr>
      </w:pPr>
    </w:p>
    <w:p w14:paraId="0F6277B7" w14:textId="7EBF8132" w:rsidR="009F1FD5" w:rsidRPr="00E54CBF" w:rsidRDefault="009F1FD5" w:rsidP="00C33A21">
      <w:pPr>
        <w:spacing w:line="360" w:lineRule="auto"/>
        <w:rPr>
          <w:rFonts w:ascii="Garamond" w:hAnsi="Garamond"/>
        </w:rPr>
      </w:pPr>
      <w:r w:rsidRPr="00E54CBF">
        <w:rPr>
          <w:rFonts w:ascii="Garamond" w:hAnsi="Garamond"/>
        </w:rPr>
        <w:t>[SLIDE: NORMAL MAN]</w:t>
      </w:r>
    </w:p>
    <w:p w14:paraId="4F9769B7" w14:textId="13CC54B3" w:rsidR="009F1FD5" w:rsidRPr="00E54CBF" w:rsidRDefault="009F1FD5" w:rsidP="00C33A21">
      <w:pPr>
        <w:spacing w:line="360" w:lineRule="auto"/>
        <w:rPr>
          <w:rFonts w:ascii="Garamond" w:hAnsi="Garamond"/>
        </w:rPr>
      </w:pPr>
      <w:r w:rsidRPr="00E54CBF">
        <w:rPr>
          <w:rFonts w:ascii="Garamond" w:hAnsi="Garamond"/>
        </w:rPr>
        <w:t>[SLIDE: NORMAL WOMAN]</w:t>
      </w:r>
    </w:p>
    <w:p w14:paraId="20DA227B" w14:textId="6DCF5CBF" w:rsidR="009F1FD5" w:rsidRDefault="007A039F" w:rsidP="00C33A21">
      <w:pPr>
        <w:spacing w:line="360" w:lineRule="auto"/>
        <w:rPr>
          <w:rFonts w:ascii="Garamond" w:hAnsi="Garamond"/>
        </w:rPr>
      </w:pPr>
      <w:r w:rsidRPr="00E54CBF">
        <w:rPr>
          <w:rFonts w:ascii="Garamond" w:hAnsi="Garamond"/>
        </w:rPr>
        <w:t>[SLIDE 16]</w:t>
      </w:r>
    </w:p>
    <w:p w14:paraId="551B872F" w14:textId="77777777" w:rsidR="00E54CBF" w:rsidRPr="00E54CBF" w:rsidRDefault="00E54CBF" w:rsidP="00C33A21">
      <w:pPr>
        <w:spacing w:line="360" w:lineRule="auto"/>
        <w:rPr>
          <w:rFonts w:ascii="Garamond" w:hAnsi="Garamond"/>
        </w:rPr>
      </w:pPr>
    </w:p>
    <w:p w14:paraId="6B699F26" w14:textId="36CD8E2A" w:rsidR="009F1FD5" w:rsidRPr="00E54CBF" w:rsidRDefault="009F1FD5" w:rsidP="00C33A21">
      <w:pPr>
        <w:spacing w:line="360" w:lineRule="auto"/>
        <w:rPr>
          <w:rFonts w:ascii="Garamond" w:hAnsi="Garamond"/>
        </w:rPr>
      </w:pPr>
      <w:r w:rsidRPr="00E54CBF">
        <w:rPr>
          <w:rFonts w:ascii="Garamond" w:hAnsi="Garamond"/>
        </w:rPr>
        <w:t xml:space="preserve">Two important thinkers in this vein are Adrienne Rich and Monique Wittig. Rich challenged the idea of heteronormativity in her 1980 essay ‘Compulsory Heterosexuality and Lesbian Existence’, in which she articulated the idea of a ‘lesbian continuum’. This presented lesbianism as a form of sisterhood that all women could </w:t>
      </w:r>
      <w:r w:rsidR="00DC36A8" w:rsidRPr="00E54CBF">
        <w:rPr>
          <w:rFonts w:ascii="Garamond" w:hAnsi="Garamond"/>
        </w:rPr>
        <w:t>belong</w:t>
      </w:r>
      <w:r w:rsidRPr="00E54CBF">
        <w:rPr>
          <w:rFonts w:ascii="Garamond" w:hAnsi="Garamond"/>
        </w:rPr>
        <w:t xml:space="preserve"> to, and not necessarily as something involving genital sex, in order to resist patriarchy</w:t>
      </w:r>
      <w:r w:rsidR="00DC36A8" w:rsidRPr="00E54CBF">
        <w:rPr>
          <w:rFonts w:ascii="Garamond" w:hAnsi="Garamond"/>
        </w:rPr>
        <w:t>. This was a way of looking at the possibility of forming productive connections between heterosexual and lesbian women. The French radical lesbian wri</w:t>
      </w:r>
      <w:r w:rsidR="00A80BE5" w:rsidRPr="00E54CBF">
        <w:rPr>
          <w:rFonts w:ascii="Garamond" w:hAnsi="Garamond"/>
        </w:rPr>
        <w:t>ter Monique Wittig took the</w:t>
      </w:r>
      <w:r w:rsidR="00DC36A8" w:rsidRPr="00E54CBF">
        <w:rPr>
          <w:rFonts w:ascii="Garamond" w:hAnsi="Garamond"/>
        </w:rPr>
        <w:t xml:space="preserve"> critique of heteronormativity even further</w:t>
      </w:r>
      <w:r w:rsidR="00D342AD" w:rsidRPr="00E54CBF">
        <w:rPr>
          <w:rFonts w:ascii="Garamond" w:hAnsi="Garamond"/>
        </w:rPr>
        <w:t xml:space="preserve"> in her radical questioning of the existence of gender roles. Her most famous novel </w:t>
      </w:r>
      <w:r w:rsidR="00D342AD" w:rsidRPr="00E54CBF">
        <w:rPr>
          <w:rFonts w:ascii="Garamond" w:hAnsi="Garamond"/>
          <w:i/>
        </w:rPr>
        <w:t>Les Guerrillères</w:t>
      </w:r>
      <w:r w:rsidR="00D342AD" w:rsidRPr="00E54CBF">
        <w:rPr>
          <w:rFonts w:ascii="Garamond" w:hAnsi="Garamond"/>
        </w:rPr>
        <w:t xml:space="preserve"> (1969) depicts a bloody war between the sexes, and in her essay-writing Wittig advocates the complete abolition of gender categories. She argues that lesbians are ‘not women’, because for Wittig ‘woman’ can only be defined in opposition to ‘man’, and that lesbians have stepped outside of this </w:t>
      </w:r>
      <w:r w:rsidR="00D342AD" w:rsidRPr="00E54CBF">
        <w:rPr>
          <w:rFonts w:ascii="Garamond" w:hAnsi="Garamond"/>
        </w:rPr>
        <w:lastRenderedPageBreak/>
        <w:t>heteronormative matrix. Wittig’s position is that we should adopt a universalist position, and far from advocating the recognition of feminine specificity (like Irigaray and Cixous)</w:t>
      </w:r>
      <w:r w:rsidR="00837726" w:rsidRPr="00E54CBF">
        <w:rPr>
          <w:rFonts w:ascii="Garamond" w:hAnsi="Garamond"/>
        </w:rPr>
        <w:t xml:space="preserve"> she calls for the complete breaking down of all gender boundaries.</w:t>
      </w:r>
    </w:p>
    <w:p w14:paraId="5D588F6C" w14:textId="77777777" w:rsidR="009F1FD5" w:rsidRPr="00E54CBF" w:rsidRDefault="009F1FD5" w:rsidP="00C33A21">
      <w:pPr>
        <w:spacing w:line="360" w:lineRule="auto"/>
        <w:rPr>
          <w:rFonts w:ascii="Garamond" w:hAnsi="Garamond"/>
        </w:rPr>
      </w:pPr>
    </w:p>
    <w:p w14:paraId="63062934" w14:textId="493E72CB" w:rsidR="00837726" w:rsidRPr="00E54CBF" w:rsidRDefault="00837726" w:rsidP="00C33A21">
      <w:pPr>
        <w:spacing w:line="360" w:lineRule="auto"/>
        <w:rPr>
          <w:rFonts w:ascii="Garamond" w:hAnsi="Garamond"/>
        </w:rPr>
      </w:pPr>
      <w:r w:rsidRPr="00E54CBF">
        <w:rPr>
          <w:rFonts w:ascii="Garamond" w:hAnsi="Garamond"/>
        </w:rPr>
        <w:t xml:space="preserve">Another important school of thought to consider is queer theory: this has come about as a result of alliances being formed between lesbian feminists and male homosexuals, and which takes a post-structuralist approach to the concepts of gender and sexuality. We have seen that feminist/gender studies will question the validity of apparently ‘natural’ differences between the sexes, and gay/lesbian studies will question the idea of ‘natural’ or ‘unnatural’ sexual behaviour(s). In this vein, queer theory extends its reach to </w:t>
      </w:r>
      <w:r w:rsidR="003E710D" w:rsidRPr="00E54CBF">
        <w:rPr>
          <w:rFonts w:ascii="Garamond" w:hAnsi="Garamond"/>
        </w:rPr>
        <w:t xml:space="preserve">the consideration of any aspects of gender or sexuality conventionally considered in terms of the parameters of ‘normal’ and ‘pathological’ (or deviant). In other words, although it is called ‘queer’ theory, because it is underwritten by a strong rejection of the existence of stable categories of either gender (masculine/feminine) or sexuality (gay/straight/bisexual), it is </w:t>
      </w:r>
      <w:r w:rsidR="003E710D" w:rsidRPr="00E54CBF">
        <w:rPr>
          <w:rFonts w:ascii="Garamond" w:hAnsi="Garamond"/>
          <w:i/>
        </w:rPr>
        <w:t>not</w:t>
      </w:r>
      <w:r w:rsidR="003E710D" w:rsidRPr="00E54CBF">
        <w:rPr>
          <w:rFonts w:ascii="Garamond" w:hAnsi="Garamond"/>
        </w:rPr>
        <w:t xml:space="preserve"> just about homosexuality—a category it inherently </w:t>
      </w:r>
      <w:r w:rsidR="00B55F25" w:rsidRPr="00E54CBF">
        <w:rPr>
          <w:rFonts w:ascii="Garamond" w:hAnsi="Garamond"/>
        </w:rPr>
        <w:t>questions as defined in normative and exclusionary terms</w:t>
      </w:r>
      <w:r w:rsidR="003E710D" w:rsidRPr="00E54CBF">
        <w:rPr>
          <w:rFonts w:ascii="Garamond" w:hAnsi="Garamond"/>
        </w:rPr>
        <w:t>.</w:t>
      </w:r>
      <w:r w:rsidR="00B55F25" w:rsidRPr="00E54CBF">
        <w:rPr>
          <w:rFonts w:ascii="Garamond" w:hAnsi="Garamond"/>
        </w:rPr>
        <w:t xml:space="preserve"> ‘Queer’ is about any sexuality or gender identity that is marginalised in relation to the ‘norm’ of heterosexual, male-female, monogamous and monoamorous relationships. </w:t>
      </w:r>
    </w:p>
    <w:p w14:paraId="7E6796EA" w14:textId="77777777" w:rsidR="00837726" w:rsidRPr="00E54CBF" w:rsidRDefault="00837726" w:rsidP="00C33A21">
      <w:pPr>
        <w:spacing w:line="360" w:lineRule="auto"/>
        <w:rPr>
          <w:rFonts w:ascii="Garamond" w:hAnsi="Garamond"/>
        </w:rPr>
      </w:pPr>
    </w:p>
    <w:p w14:paraId="5ED1D7DE" w14:textId="3E88E575" w:rsidR="00B55F25" w:rsidRPr="00E54CBF" w:rsidRDefault="009F1FD5" w:rsidP="00C33A21">
      <w:pPr>
        <w:spacing w:line="360" w:lineRule="auto"/>
        <w:rPr>
          <w:rFonts w:ascii="Garamond" w:hAnsi="Garamond"/>
        </w:rPr>
      </w:pPr>
      <w:r w:rsidRPr="00E54CBF">
        <w:rPr>
          <w:rFonts w:ascii="Garamond" w:hAnsi="Garamond"/>
        </w:rPr>
        <w:t xml:space="preserve">Queer theory is heavily influenced by </w:t>
      </w:r>
      <w:r w:rsidR="00C02A4E" w:rsidRPr="00E54CBF">
        <w:rPr>
          <w:rFonts w:ascii="Garamond" w:hAnsi="Garamond"/>
        </w:rPr>
        <w:t xml:space="preserve">Michel </w:t>
      </w:r>
      <w:r w:rsidRPr="00E54CBF">
        <w:rPr>
          <w:rFonts w:ascii="Garamond" w:hAnsi="Garamond"/>
        </w:rPr>
        <w:t xml:space="preserve">Foucault, who </w:t>
      </w:r>
      <w:r w:rsidR="00213D69">
        <w:rPr>
          <w:rFonts w:ascii="Garamond" w:hAnsi="Garamond"/>
        </w:rPr>
        <w:t>as you already know is very critical of the whole process of ‘normalization’ via the gaze of disciplinary power</w:t>
      </w:r>
      <w:r w:rsidRPr="00E54CBF">
        <w:rPr>
          <w:rFonts w:ascii="Garamond" w:hAnsi="Garamond"/>
        </w:rPr>
        <w:t xml:space="preserve">. </w:t>
      </w:r>
      <w:r w:rsidR="00B55F25" w:rsidRPr="00E54CBF">
        <w:rPr>
          <w:rFonts w:ascii="Garamond" w:hAnsi="Garamond"/>
        </w:rPr>
        <w:t>The validity of c</w:t>
      </w:r>
      <w:r w:rsidR="00DC36A8" w:rsidRPr="00E54CBF">
        <w:rPr>
          <w:rFonts w:ascii="Garamond" w:hAnsi="Garamond"/>
        </w:rPr>
        <w:t>ategories such a</w:t>
      </w:r>
      <w:r w:rsidR="00B55F25" w:rsidRPr="00E54CBF">
        <w:rPr>
          <w:rFonts w:ascii="Garamond" w:hAnsi="Garamond"/>
        </w:rPr>
        <w:t>s ‘homosexual’</w:t>
      </w:r>
      <w:r w:rsidR="00DC36A8" w:rsidRPr="00E54CBF">
        <w:rPr>
          <w:rFonts w:ascii="Garamond" w:hAnsi="Garamond"/>
        </w:rPr>
        <w:t xml:space="preserve"> </w:t>
      </w:r>
      <w:r w:rsidR="00B55F25" w:rsidRPr="00E54CBF">
        <w:rPr>
          <w:rFonts w:ascii="Garamond" w:hAnsi="Garamond"/>
        </w:rPr>
        <w:t xml:space="preserve">is questioned by Foucault, who traces their origin back to the use as medico-legal labels in the nineteenth-century. Foucault argues that prior to the ‘medicalisation’ of sexuality there were no such categories: there was just sex, and as such no sense of one type of behaviour being construed as more ‘normal’ than an other. </w:t>
      </w:r>
    </w:p>
    <w:p w14:paraId="1D244750" w14:textId="77777777" w:rsidR="00B55F25" w:rsidRPr="00E54CBF" w:rsidRDefault="00B55F25" w:rsidP="00C33A21">
      <w:pPr>
        <w:spacing w:line="360" w:lineRule="auto"/>
        <w:rPr>
          <w:rFonts w:ascii="Garamond" w:hAnsi="Garamond"/>
        </w:rPr>
      </w:pPr>
    </w:p>
    <w:p w14:paraId="4725FC14" w14:textId="17446C4D" w:rsidR="007A039F" w:rsidRPr="00E54CBF" w:rsidRDefault="007A039F" w:rsidP="00C33A21">
      <w:pPr>
        <w:spacing w:line="360" w:lineRule="auto"/>
        <w:rPr>
          <w:rFonts w:ascii="Garamond" w:hAnsi="Garamond"/>
        </w:rPr>
      </w:pPr>
      <w:r w:rsidRPr="00E54CBF">
        <w:rPr>
          <w:rFonts w:ascii="Garamond" w:hAnsi="Garamond"/>
        </w:rPr>
        <w:t>[SLIDE 17]</w:t>
      </w:r>
    </w:p>
    <w:p w14:paraId="42CED34C" w14:textId="5169FE8F" w:rsidR="00E31464" w:rsidRPr="00E54CBF" w:rsidRDefault="00C33A21" w:rsidP="00C33A21">
      <w:pPr>
        <w:spacing w:line="360" w:lineRule="auto"/>
        <w:rPr>
          <w:rFonts w:ascii="Garamond" w:hAnsi="Garamond"/>
        </w:rPr>
      </w:pPr>
      <w:r w:rsidRPr="00E54CBF">
        <w:rPr>
          <w:rFonts w:ascii="Garamond" w:hAnsi="Garamond"/>
        </w:rPr>
        <w:t>One important thinker</w:t>
      </w:r>
      <w:r w:rsidR="00E31464" w:rsidRPr="00E54CBF">
        <w:rPr>
          <w:rFonts w:ascii="Garamond" w:hAnsi="Garamond"/>
        </w:rPr>
        <w:t xml:space="preserve"> </w:t>
      </w:r>
      <w:r w:rsidRPr="00E54CBF">
        <w:rPr>
          <w:rFonts w:ascii="Garamond" w:hAnsi="Garamond"/>
        </w:rPr>
        <w:t>considered by many to be the founder of</w:t>
      </w:r>
      <w:r w:rsidR="00E31464" w:rsidRPr="00E54CBF">
        <w:rPr>
          <w:rFonts w:ascii="Garamond" w:hAnsi="Garamond"/>
        </w:rPr>
        <w:t xml:space="preserve"> queer theory </w:t>
      </w:r>
      <w:r w:rsidRPr="00E54CBF">
        <w:rPr>
          <w:rFonts w:ascii="Garamond" w:hAnsi="Garamond"/>
        </w:rPr>
        <w:t>is</w:t>
      </w:r>
      <w:r w:rsidR="00E31464" w:rsidRPr="00E54CBF">
        <w:rPr>
          <w:rFonts w:ascii="Garamond" w:hAnsi="Garamond"/>
        </w:rPr>
        <w:t xml:space="preserve"> Judith Butler</w:t>
      </w:r>
      <w:r w:rsidR="0070544E" w:rsidRPr="00E54CBF">
        <w:rPr>
          <w:rFonts w:ascii="Garamond" w:hAnsi="Garamond"/>
        </w:rPr>
        <w:t xml:space="preserve">. </w:t>
      </w:r>
      <w:r w:rsidRPr="00E54CBF">
        <w:rPr>
          <w:rFonts w:ascii="Garamond" w:hAnsi="Garamond"/>
        </w:rPr>
        <w:t>In</w:t>
      </w:r>
      <w:r w:rsidR="0070544E" w:rsidRPr="00E54CBF">
        <w:rPr>
          <w:rFonts w:ascii="Garamond" w:hAnsi="Garamond"/>
        </w:rPr>
        <w:t xml:space="preserve"> her influential book, </w:t>
      </w:r>
      <w:r w:rsidR="0070544E" w:rsidRPr="00E54CBF">
        <w:rPr>
          <w:rFonts w:ascii="Garamond" w:hAnsi="Garamond"/>
          <w:i/>
        </w:rPr>
        <w:t>Gender Trouble: Feminism and the Subversion of Identity</w:t>
      </w:r>
      <w:r w:rsidR="0070544E" w:rsidRPr="00E54CBF">
        <w:rPr>
          <w:rFonts w:ascii="Garamond" w:hAnsi="Garamond"/>
        </w:rPr>
        <w:t xml:space="preserve"> (1990) </w:t>
      </w:r>
      <w:r w:rsidRPr="00E54CBF">
        <w:rPr>
          <w:rFonts w:ascii="Garamond" w:hAnsi="Garamond"/>
        </w:rPr>
        <w:t>Butler</w:t>
      </w:r>
      <w:r w:rsidR="0070544E" w:rsidRPr="00E54CBF">
        <w:rPr>
          <w:rFonts w:ascii="Garamond" w:hAnsi="Garamond"/>
        </w:rPr>
        <w:t xml:space="preserve"> </w:t>
      </w:r>
      <w:r w:rsidRPr="00E54CBF">
        <w:rPr>
          <w:rFonts w:ascii="Garamond" w:hAnsi="Garamond"/>
        </w:rPr>
        <w:t>proposed</w:t>
      </w:r>
      <w:r w:rsidR="0070544E" w:rsidRPr="00E54CBF">
        <w:rPr>
          <w:rFonts w:ascii="Garamond" w:hAnsi="Garamond"/>
        </w:rPr>
        <w:t xml:space="preserve"> a theory of gender as </w:t>
      </w:r>
      <w:r w:rsidR="0070544E" w:rsidRPr="00E54CBF">
        <w:rPr>
          <w:rFonts w:ascii="Garamond" w:hAnsi="Garamond"/>
          <w:i/>
        </w:rPr>
        <w:t>performative</w:t>
      </w:r>
      <w:r w:rsidR="0070544E" w:rsidRPr="00E54CBF">
        <w:rPr>
          <w:rFonts w:ascii="Garamond" w:hAnsi="Garamond"/>
        </w:rPr>
        <w:t>, that is to say, that gender is not something that we</w:t>
      </w:r>
      <w:r w:rsidRPr="00E54CBF">
        <w:rPr>
          <w:rFonts w:ascii="Garamond" w:hAnsi="Garamond"/>
        </w:rPr>
        <w:t xml:space="preserve"> naturally</w:t>
      </w:r>
      <w:r w:rsidR="0070544E" w:rsidRPr="00E54CBF">
        <w:rPr>
          <w:rFonts w:ascii="Garamond" w:hAnsi="Garamond"/>
        </w:rPr>
        <w:t xml:space="preserve"> </w:t>
      </w:r>
      <w:r w:rsidR="0070544E" w:rsidRPr="00E54CBF">
        <w:rPr>
          <w:rFonts w:ascii="Garamond" w:hAnsi="Garamond"/>
          <w:i/>
        </w:rPr>
        <w:t>are</w:t>
      </w:r>
      <w:r w:rsidR="0070544E" w:rsidRPr="00E54CBF">
        <w:rPr>
          <w:rFonts w:ascii="Garamond" w:hAnsi="Garamond"/>
        </w:rPr>
        <w:t xml:space="preserve">, but something that we </w:t>
      </w:r>
      <w:r w:rsidR="0070544E" w:rsidRPr="00E54CBF">
        <w:rPr>
          <w:rFonts w:ascii="Garamond" w:hAnsi="Garamond"/>
          <w:i/>
        </w:rPr>
        <w:t>do</w:t>
      </w:r>
      <w:r w:rsidRPr="00E54CBF">
        <w:rPr>
          <w:rFonts w:ascii="Garamond" w:hAnsi="Garamond"/>
        </w:rPr>
        <w:t>. She writes:</w:t>
      </w:r>
    </w:p>
    <w:p w14:paraId="2C77EE12" w14:textId="447A7FA5" w:rsidR="00E6170E" w:rsidRPr="00E54CBF" w:rsidRDefault="00E6170E" w:rsidP="00C33A21">
      <w:pPr>
        <w:spacing w:line="360" w:lineRule="auto"/>
        <w:rPr>
          <w:rFonts w:ascii="Garamond" w:hAnsi="Garamond"/>
        </w:rPr>
      </w:pPr>
      <w:r w:rsidRPr="00E54CBF">
        <w:rPr>
          <w:rFonts w:ascii="Garamond" w:hAnsi="Garamond"/>
        </w:rPr>
        <w:tab/>
      </w:r>
    </w:p>
    <w:p w14:paraId="0FF4FC2A" w14:textId="50DF51A8" w:rsidR="00E6170E" w:rsidRPr="00E54CBF" w:rsidRDefault="00E6170E" w:rsidP="00CB72F5">
      <w:pPr>
        <w:ind w:left="720"/>
        <w:rPr>
          <w:rFonts w:ascii="Garamond" w:hAnsi="Garamond"/>
        </w:rPr>
      </w:pPr>
      <w:r w:rsidRPr="00E54CBF">
        <w:rPr>
          <w:rFonts w:ascii="Garamond" w:hAnsi="Garamond"/>
        </w:rPr>
        <w:t xml:space="preserve">In what senses, then is gender an act? As in other ritual social dramas, the action of gender requires a performance that is </w:t>
      </w:r>
      <w:r w:rsidRPr="00E54CBF">
        <w:rPr>
          <w:rFonts w:ascii="Garamond" w:hAnsi="Garamond"/>
          <w:i/>
        </w:rPr>
        <w:t>repeated</w:t>
      </w:r>
      <w:r w:rsidRPr="00E54CBF">
        <w:rPr>
          <w:rFonts w:ascii="Garamond" w:hAnsi="Garamond"/>
        </w:rPr>
        <w:t>. This repetition is at once a re-</w:t>
      </w:r>
      <w:r w:rsidRPr="00E54CBF">
        <w:rPr>
          <w:rFonts w:ascii="Garamond" w:hAnsi="Garamond"/>
        </w:rPr>
        <w:lastRenderedPageBreak/>
        <w:t>enactment and re-experiencing of a set of meanings already socially established; and it is the mundane and ritualized form of their legitimation. Although there are individual bodies that enact these significations by becoming stylized into gendered modes, this ‘action’ is a public action.  […] [I]ndeed, the performance is effected with the strategic aim of maintaining gender within its binary frame—an aim that cannot be attributed to a subject, but, rather, must be understood to found and consolidate the subject.</w:t>
      </w:r>
    </w:p>
    <w:p w14:paraId="224C7D9D" w14:textId="77777777" w:rsidR="00E6170E" w:rsidRPr="00E54CBF" w:rsidRDefault="00E6170E" w:rsidP="00CB72F5">
      <w:pPr>
        <w:ind w:left="720"/>
        <w:rPr>
          <w:rFonts w:ascii="Garamond" w:hAnsi="Garamond"/>
        </w:rPr>
      </w:pPr>
    </w:p>
    <w:p w14:paraId="6B7BB2DE" w14:textId="5601622E" w:rsidR="00E6170E" w:rsidRPr="00E54CBF" w:rsidRDefault="00E6170E" w:rsidP="00CB72F5">
      <w:pPr>
        <w:ind w:left="720"/>
        <w:jc w:val="right"/>
        <w:rPr>
          <w:rFonts w:ascii="Garamond" w:hAnsi="Garamond"/>
        </w:rPr>
      </w:pPr>
      <w:r w:rsidRPr="00E54CBF">
        <w:rPr>
          <w:rFonts w:ascii="Garamond" w:hAnsi="Garamond"/>
        </w:rPr>
        <w:t xml:space="preserve">From </w:t>
      </w:r>
      <w:r w:rsidRPr="00E54CBF">
        <w:rPr>
          <w:rFonts w:ascii="Garamond" w:hAnsi="Garamond"/>
          <w:i/>
        </w:rPr>
        <w:t>Gender Trouble</w:t>
      </w:r>
      <w:r w:rsidRPr="00E54CBF">
        <w:rPr>
          <w:rFonts w:ascii="Garamond" w:hAnsi="Garamond"/>
        </w:rPr>
        <w:t>, p. 97</w:t>
      </w:r>
    </w:p>
    <w:p w14:paraId="0E206D4F" w14:textId="77777777" w:rsidR="00E6170E" w:rsidRPr="00E54CBF" w:rsidRDefault="00E6170E" w:rsidP="00C33A21">
      <w:pPr>
        <w:spacing w:line="360" w:lineRule="auto"/>
        <w:rPr>
          <w:rFonts w:ascii="Garamond" w:hAnsi="Garamond"/>
        </w:rPr>
      </w:pPr>
    </w:p>
    <w:p w14:paraId="0D0E2713" w14:textId="388A7C79" w:rsidR="00E6170E" w:rsidRPr="00E54CBF" w:rsidRDefault="00E6170E" w:rsidP="00C33A21">
      <w:pPr>
        <w:spacing w:line="360" w:lineRule="auto"/>
        <w:rPr>
          <w:rFonts w:ascii="Garamond" w:hAnsi="Garamond"/>
        </w:rPr>
      </w:pPr>
      <w:r w:rsidRPr="00E54CBF">
        <w:rPr>
          <w:rFonts w:ascii="Garamond" w:hAnsi="Garamond"/>
        </w:rPr>
        <w:t xml:space="preserve">In other words, gender is not something that is prior to one’s behaviour, but something that is </w:t>
      </w:r>
      <w:r w:rsidRPr="00E54CBF">
        <w:rPr>
          <w:rFonts w:ascii="Garamond" w:hAnsi="Garamond"/>
          <w:i/>
        </w:rPr>
        <w:t>constituted by</w:t>
      </w:r>
      <w:r w:rsidRPr="00E54CBF">
        <w:rPr>
          <w:rFonts w:ascii="Garamond" w:hAnsi="Garamond"/>
        </w:rPr>
        <w:t xml:space="preserve"> one’s behaviour. Butler is clear that this ‘performance’ is not necessarily a choice, but it is still the act that establishes gender identity. Key concepts for Butler are ‘gender coherence’</w:t>
      </w:r>
      <w:r w:rsidR="00C33A21" w:rsidRPr="00E54CBF">
        <w:rPr>
          <w:rFonts w:ascii="Garamond" w:hAnsi="Garamond"/>
        </w:rPr>
        <w:t xml:space="preserve"> and ‘naturalised femininity’, which suggest that something </w:t>
      </w:r>
      <w:r w:rsidR="00C33A21" w:rsidRPr="00E54CBF">
        <w:rPr>
          <w:rFonts w:ascii="Garamond" w:hAnsi="Garamond"/>
          <w:i/>
        </w:rPr>
        <w:t>arbitrary</w:t>
      </w:r>
      <w:r w:rsidR="00C33A21" w:rsidRPr="00E54CBF">
        <w:rPr>
          <w:rFonts w:ascii="Garamond" w:hAnsi="Garamond"/>
        </w:rPr>
        <w:t xml:space="preserve"> (the ‘coherence’ of sex, gender identity, and sexuality, for example) comes to seem as if it is natural. You will be able to read more on this in preparation for the seminar.</w:t>
      </w:r>
    </w:p>
    <w:p w14:paraId="138CDAB6" w14:textId="77777777" w:rsidR="00E31464" w:rsidRPr="00E54CBF" w:rsidRDefault="00E31464" w:rsidP="00C33A21">
      <w:pPr>
        <w:spacing w:line="360" w:lineRule="auto"/>
        <w:rPr>
          <w:rFonts w:ascii="Garamond" w:hAnsi="Garamond"/>
        </w:rPr>
      </w:pPr>
    </w:p>
    <w:p w14:paraId="36FB8211" w14:textId="5BA07A05" w:rsidR="007A039F" w:rsidRPr="00E54CBF" w:rsidRDefault="007A039F" w:rsidP="00C33A21">
      <w:pPr>
        <w:spacing w:line="360" w:lineRule="auto"/>
        <w:rPr>
          <w:rFonts w:ascii="Garamond" w:hAnsi="Garamond"/>
        </w:rPr>
      </w:pPr>
      <w:r w:rsidRPr="00E54CBF">
        <w:rPr>
          <w:rFonts w:ascii="Garamond" w:hAnsi="Garamond"/>
        </w:rPr>
        <w:t>[SLIDE 18 &amp; 19)</w:t>
      </w:r>
    </w:p>
    <w:p w14:paraId="758897D5" w14:textId="41A0478B" w:rsidR="00E31464" w:rsidRPr="00E54CBF" w:rsidRDefault="00B55F25" w:rsidP="00C33A21">
      <w:pPr>
        <w:spacing w:line="360" w:lineRule="auto"/>
        <w:rPr>
          <w:rFonts w:ascii="Garamond" w:hAnsi="Garamond"/>
        </w:rPr>
      </w:pPr>
      <w:r w:rsidRPr="00E54CBF">
        <w:rPr>
          <w:rFonts w:ascii="Garamond" w:hAnsi="Garamond"/>
        </w:rPr>
        <w:t xml:space="preserve">So what does a </w:t>
      </w:r>
      <w:r w:rsidR="00E31464" w:rsidRPr="00E54CBF">
        <w:rPr>
          <w:rFonts w:ascii="Garamond" w:hAnsi="Garamond"/>
        </w:rPr>
        <w:t>‘</w:t>
      </w:r>
      <w:r w:rsidRPr="00E54CBF">
        <w:rPr>
          <w:rFonts w:ascii="Garamond" w:hAnsi="Garamond"/>
        </w:rPr>
        <w:t>queer</w:t>
      </w:r>
      <w:r w:rsidR="00E31464" w:rsidRPr="00E54CBF">
        <w:rPr>
          <w:rFonts w:ascii="Garamond" w:hAnsi="Garamond"/>
        </w:rPr>
        <w:t>’</w:t>
      </w:r>
      <w:r w:rsidRPr="00E54CBF">
        <w:rPr>
          <w:rFonts w:ascii="Garamond" w:hAnsi="Garamond"/>
        </w:rPr>
        <w:t xml:space="preserve"> reading of a text look like, and why is it important? </w:t>
      </w:r>
    </w:p>
    <w:p w14:paraId="52299DB2" w14:textId="77777777" w:rsidR="00E31464" w:rsidRPr="00E54CBF" w:rsidRDefault="00E31464" w:rsidP="00CB72F5">
      <w:pPr>
        <w:pStyle w:val="ListParagraph"/>
        <w:numPr>
          <w:ilvl w:val="0"/>
          <w:numId w:val="4"/>
        </w:numPr>
        <w:rPr>
          <w:rFonts w:ascii="Garamond" w:hAnsi="Garamond"/>
        </w:rPr>
      </w:pPr>
      <w:r w:rsidRPr="00E54CBF">
        <w:rPr>
          <w:rFonts w:ascii="Garamond" w:hAnsi="Garamond" w:cs="Arial"/>
          <w:lang w:val="en-US"/>
        </w:rPr>
        <w:t xml:space="preserve">queer reading strategies: applied to unearth queer meanings in ostensibly straight texts. </w:t>
      </w:r>
    </w:p>
    <w:p w14:paraId="4B5FE51C" w14:textId="77777777" w:rsidR="00E31464" w:rsidRPr="00E54CBF" w:rsidRDefault="00E31464" w:rsidP="00CB72F5">
      <w:pPr>
        <w:pStyle w:val="ListParagraph"/>
        <w:numPr>
          <w:ilvl w:val="0"/>
          <w:numId w:val="4"/>
        </w:numPr>
        <w:rPr>
          <w:rFonts w:ascii="Garamond" w:hAnsi="Garamond"/>
        </w:rPr>
      </w:pPr>
      <w:r w:rsidRPr="00E54CBF">
        <w:rPr>
          <w:rFonts w:ascii="Garamond" w:hAnsi="Garamond" w:cs="Arial"/>
          <w:lang w:val="en-US"/>
        </w:rPr>
        <w:t xml:space="preserve">queer writing strategies: applied by authors to convey queer meanings without addressing them explicitly. </w:t>
      </w:r>
    </w:p>
    <w:p w14:paraId="2B1E4250" w14:textId="5E215039" w:rsidR="0070544E" w:rsidRPr="00E54CBF" w:rsidRDefault="00E31464" w:rsidP="00CB72F5">
      <w:pPr>
        <w:pStyle w:val="ListParagraph"/>
        <w:numPr>
          <w:ilvl w:val="0"/>
          <w:numId w:val="4"/>
        </w:numPr>
        <w:rPr>
          <w:rFonts w:ascii="Garamond" w:hAnsi="Garamond"/>
        </w:rPr>
      </w:pPr>
      <w:r w:rsidRPr="00E54CBF">
        <w:rPr>
          <w:rFonts w:ascii="Garamond" w:hAnsi="Garamond" w:cs="Arial"/>
          <w:lang w:val="en-US"/>
        </w:rPr>
        <w:t>recourse to queer reading and writing strategies is particularly relevant under conditions in which a direct treatment of the subject is rendered impossible, for example the p</w:t>
      </w:r>
      <w:r w:rsidR="0070544E" w:rsidRPr="00E54CBF">
        <w:rPr>
          <w:rFonts w:ascii="Garamond" w:hAnsi="Garamond" w:cs="Arial"/>
          <w:lang w:val="en-US"/>
        </w:rPr>
        <w:t>resence of taboos or censorship</w:t>
      </w:r>
      <w:r w:rsidRPr="00E54CBF">
        <w:rPr>
          <w:rFonts w:ascii="Garamond" w:hAnsi="Garamond" w:cs="Arial"/>
          <w:lang w:val="en-US"/>
        </w:rPr>
        <w:t xml:space="preserve">. </w:t>
      </w:r>
    </w:p>
    <w:p w14:paraId="70F438F2" w14:textId="77777777" w:rsidR="0070544E" w:rsidRPr="00E54CBF" w:rsidRDefault="00E31464" w:rsidP="00CB72F5">
      <w:pPr>
        <w:pStyle w:val="ListParagraph"/>
        <w:numPr>
          <w:ilvl w:val="0"/>
          <w:numId w:val="4"/>
        </w:numPr>
        <w:rPr>
          <w:rFonts w:ascii="Garamond" w:hAnsi="Garamond"/>
        </w:rPr>
      </w:pPr>
      <w:r w:rsidRPr="00E54CBF">
        <w:rPr>
          <w:rFonts w:ascii="Garamond" w:hAnsi="Garamond" w:cs="Arial"/>
          <w:lang w:val="en-US"/>
        </w:rPr>
        <w:t>example of a queer writing strategy</w:t>
      </w:r>
      <w:r w:rsidR="0070544E" w:rsidRPr="00E54CBF">
        <w:rPr>
          <w:rFonts w:ascii="Garamond" w:hAnsi="Garamond" w:cs="Arial"/>
          <w:lang w:val="en-US"/>
        </w:rPr>
        <w:t>:</w:t>
      </w:r>
      <w:r w:rsidRPr="00E54CBF">
        <w:rPr>
          <w:rFonts w:ascii="Garamond" w:hAnsi="Garamond" w:cs="Arial"/>
          <w:lang w:val="en-US"/>
        </w:rPr>
        <w:t xml:space="preserve"> is the use of code words signalling homosexual activity (</w:t>
      </w:r>
      <w:r w:rsidR="0070544E" w:rsidRPr="00E54CBF">
        <w:rPr>
          <w:rFonts w:ascii="Garamond" w:hAnsi="Garamond" w:cs="Arial"/>
          <w:lang w:val="en-US"/>
        </w:rPr>
        <w:t>e.g.</w:t>
      </w:r>
      <w:r w:rsidRPr="00E54CBF">
        <w:rPr>
          <w:rFonts w:ascii="Garamond" w:hAnsi="Garamond" w:cs="Arial"/>
          <w:lang w:val="en-US"/>
        </w:rPr>
        <w:t xml:space="preserve"> "cottage" or "trade," which have an everyday meaning a</w:t>
      </w:r>
      <w:r w:rsidR="0070544E" w:rsidRPr="00E54CBF">
        <w:rPr>
          <w:rFonts w:ascii="Garamond" w:hAnsi="Garamond" w:cs="Arial"/>
          <w:lang w:val="en-US"/>
        </w:rPr>
        <w:t>s well as a subcultural meaning)</w:t>
      </w:r>
    </w:p>
    <w:p w14:paraId="0F7DD414" w14:textId="08948801" w:rsidR="00E31464" w:rsidRPr="00E54CBF" w:rsidRDefault="00E31464" w:rsidP="00CB72F5">
      <w:pPr>
        <w:pStyle w:val="ListParagraph"/>
        <w:numPr>
          <w:ilvl w:val="0"/>
          <w:numId w:val="4"/>
        </w:numPr>
        <w:rPr>
          <w:rFonts w:ascii="Garamond" w:hAnsi="Garamond"/>
        </w:rPr>
      </w:pPr>
      <w:r w:rsidRPr="00E54CBF">
        <w:rPr>
          <w:rFonts w:ascii="Garamond" w:hAnsi="Garamond" w:cs="Arial"/>
          <w:lang w:val="en-US"/>
        </w:rPr>
        <w:t>example of a queer reading strategy</w:t>
      </w:r>
      <w:r w:rsidR="0070544E" w:rsidRPr="00E54CBF">
        <w:rPr>
          <w:rFonts w:ascii="Garamond" w:hAnsi="Garamond" w:cs="Arial"/>
          <w:lang w:val="en-US"/>
        </w:rPr>
        <w:t>:</w:t>
      </w:r>
      <w:r w:rsidRPr="00E54CBF">
        <w:rPr>
          <w:rFonts w:ascii="Garamond" w:hAnsi="Garamond" w:cs="Arial"/>
          <w:lang w:val="en-US"/>
        </w:rPr>
        <w:t xml:space="preserve"> is gender switching (for instance, reading a female character as a male character, or vice versa, in order to decode an ostensibly heterosexual couple as a homosexual couple, as you can convincingly do with the protagonists of Noël Coward's </w:t>
      </w:r>
      <w:r w:rsidRPr="00E54CBF">
        <w:rPr>
          <w:rFonts w:ascii="Garamond" w:hAnsi="Garamond" w:cs="Arial"/>
          <w:i/>
          <w:lang w:val="en-US"/>
        </w:rPr>
        <w:t>Still Life</w:t>
      </w:r>
      <w:r w:rsidRPr="00E54CBF">
        <w:rPr>
          <w:rFonts w:ascii="Garamond" w:hAnsi="Garamond" w:cs="Arial"/>
          <w:lang w:val="en-US"/>
        </w:rPr>
        <w:t xml:space="preserve"> </w:t>
      </w:r>
      <w:r w:rsidR="0070544E" w:rsidRPr="00E54CBF">
        <w:rPr>
          <w:rFonts w:ascii="Garamond" w:hAnsi="Garamond" w:cs="Arial"/>
          <w:lang w:val="en-US"/>
        </w:rPr>
        <w:t xml:space="preserve">[or Proust’s </w:t>
      </w:r>
      <w:r w:rsidR="0070544E" w:rsidRPr="00E54CBF">
        <w:rPr>
          <w:rFonts w:ascii="Garamond" w:hAnsi="Garamond" w:cs="Arial"/>
          <w:i/>
          <w:lang w:val="en-US"/>
        </w:rPr>
        <w:t>A la recherche du temps perdu</w:t>
      </w:r>
      <w:r w:rsidR="0070544E" w:rsidRPr="00E54CBF">
        <w:rPr>
          <w:rFonts w:ascii="Garamond" w:hAnsi="Garamond" w:cs="Arial"/>
          <w:lang w:val="en-US"/>
        </w:rPr>
        <w:t>, the character of Albertine]</w:t>
      </w:r>
    </w:p>
    <w:p w14:paraId="45325193" w14:textId="77777777" w:rsidR="00C33A21" w:rsidRPr="00E54CBF" w:rsidRDefault="00C33A21" w:rsidP="00CB72F5">
      <w:pPr>
        <w:rPr>
          <w:rFonts w:ascii="Garamond" w:hAnsi="Garamond"/>
        </w:rPr>
      </w:pPr>
    </w:p>
    <w:p w14:paraId="096330F5" w14:textId="500D776B" w:rsidR="005F2E4A" w:rsidRPr="00E54CBF" w:rsidRDefault="00C33A21" w:rsidP="00C33A21">
      <w:pPr>
        <w:spacing w:line="360" w:lineRule="auto"/>
        <w:rPr>
          <w:rFonts w:ascii="Garamond" w:hAnsi="Garamond"/>
        </w:rPr>
      </w:pPr>
      <w:r w:rsidRPr="00E54CBF">
        <w:rPr>
          <w:rFonts w:ascii="Garamond" w:hAnsi="Garamond"/>
        </w:rPr>
        <w:t xml:space="preserve">This analysis of the process of queer reading is </w:t>
      </w:r>
      <w:r w:rsidR="00CB72F5" w:rsidRPr="00E54CBF">
        <w:rPr>
          <w:rFonts w:ascii="Garamond" w:hAnsi="Garamond"/>
        </w:rPr>
        <w:t>(paraphrased) taken</w:t>
      </w:r>
      <w:r w:rsidRPr="00E54CBF">
        <w:rPr>
          <w:rFonts w:ascii="Garamond" w:hAnsi="Garamond"/>
        </w:rPr>
        <w:t xml:space="preserve"> from </w:t>
      </w:r>
      <w:r w:rsidRPr="00E54CBF">
        <w:rPr>
          <w:rFonts w:ascii="Garamond" w:hAnsi="Garamond" w:cs="Arial"/>
          <w:bCs/>
          <w:lang w:val="en-US"/>
        </w:rPr>
        <w:t>Hanna Kubowitz, ‘The Default Reader and a Model of Queer Reading and Writing Strategies Or: Obituary for the Implied Reader’</w:t>
      </w:r>
      <w:r w:rsidRPr="00E54CBF">
        <w:rPr>
          <w:rFonts w:ascii="Garamond" w:hAnsi="Garamond"/>
        </w:rPr>
        <w:t xml:space="preserve">, </w:t>
      </w:r>
      <w:r w:rsidRPr="00E54CBF">
        <w:rPr>
          <w:rFonts w:ascii="Garamond" w:hAnsi="Garamond" w:cs="Arial"/>
          <w:i/>
          <w:iCs/>
          <w:lang w:val="en-US"/>
        </w:rPr>
        <w:t>Style</w:t>
      </w:r>
      <w:r w:rsidRPr="00E54CBF">
        <w:rPr>
          <w:rFonts w:ascii="Garamond" w:hAnsi="Garamond" w:cs="Arial"/>
          <w:lang w:val="en-US"/>
        </w:rPr>
        <w:t xml:space="preserve"> (46: 2) [Summer 2012], pp. 201-228.</w:t>
      </w:r>
    </w:p>
    <w:p w14:paraId="5436EA98" w14:textId="77777777" w:rsidR="0093145D" w:rsidRPr="00E54CBF" w:rsidRDefault="0093145D" w:rsidP="00C33A21">
      <w:pPr>
        <w:spacing w:line="360" w:lineRule="auto"/>
        <w:rPr>
          <w:rFonts w:ascii="Garamond" w:hAnsi="Garamond"/>
        </w:rPr>
      </w:pPr>
    </w:p>
    <w:p w14:paraId="3675E6B6" w14:textId="6420A63D" w:rsidR="007A039F" w:rsidRPr="00E54CBF" w:rsidRDefault="007A039F" w:rsidP="00C33A21">
      <w:pPr>
        <w:spacing w:line="360" w:lineRule="auto"/>
        <w:rPr>
          <w:rFonts w:ascii="Garamond" w:hAnsi="Garamond"/>
        </w:rPr>
      </w:pPr>
      <w:r w:rsidRPr="00E54CBF">
        <w:rPr>
          <w:rFonts w:ascii="Garamond" w:hAnsi="Garamond"/>
        </w:rPr>
        <w:t>[SLIDE 20]</w:t>
      </w:r>
    </w:p>
    <w:p w14:paraId="3C1B69F4" w14:textId="2E508E91" w:rsidR="00DC36A8" w:rsidRPr="00E54CBF" w:rsidRDefault="00DC36A8" w:rsidP="00C33A21">
      <w:pPr>
        <w:spacing w:line="360" w:lineRule="auto"/>
        <w:rPr>
          <w:rFonts w:ascii="Garamond" w:hAnsi="Garamond"/>
        </w:rPr>
      </w:pPr>
      <w:r w:rsidRPr="00E54CBF">
        <w:rPr>
          <w:rFonts w:ascii="Garamond" w:hAnsi="Garamond"/>
        </w:rPr>
        <w:t>Key points to take away:</w:t>
      </w:r>
    </w:p>
    <w:p w14:paraId="7CDDAE3C" w14:textId="77777777" w:rsidR="00DC36A8" w:rsidRPr="00E54CBF" w:rsidRDefault="00DC36A8" w:rsidP="00C33A21">
      <w:pPr>
        <w:spacing w:line="360" w:lineRule="auto"/>
        <w:rPr>
          <w:rFonts w:ascii="Garamond" w:hAnsi="Garamond"/>
        </w:rPr>
      </w:pPr>
    </w:p>
    <w:p w14:paraId="1E429F15" w14:textId="32F6E2C2" w:rsidR="00DC36A8" w:rsidRPr="00E54CBF" w:rsidRDefault="00DC36A8" w:rsidP="00CB72F5">
      <w:pPr>
        <w:pStyle w:val="ListParagraph"/>
        <w:numPr>
          <w:ilvl w:val="0"/>
          <w:numId w:val="3"/>
        </w:numPr>
        <w:spacing w:line="360" w:lineRule="auto"/>
        <w:rPr>
          <w:rFonts w:ascii="Garamond" w:hAnsi="Garamond"/>
        </w:rPr>
      </w:pPr>
      <w:r w:rsidRPr="00E54CBF">
        <w:rPr>
          <w:rFonts w:ascii="Garamond" w:hAnsi="Garamond"/>
        </w:rPr>
        <w:t>The difference between ‘essentialist’ and ‘constructivist’ views of gender</w:t>
      </w:r>
    </w:p>
    <w:p w14:paraId="5F722A2F" w14:textId="6F849AC7" w:rsidR="00DC36A8" w:rsidRPr="00E54CBF" w:rsidRDefault="00DC36A8" w:rsidP="00CB72F5">
      <w:pPr>
        <w:pStyle w:val="ListParagraph"/>
        <w:numPr>
          <w:ilvl w:val="0"/>
          <w:numId w:val="3"/>
        </w:numPr>
        <w:spacing w:line="360" w:lineRule="auto"/>
        <w:rPr>
          <w:rFonts w:ascii="Garamond" w:hAnsi="Garamond"/>
        </w:rPr>
      </w:pPr>
      <w:r w:rsidRPr="00E54CBF">
        <w:rPr>
          <w:rFonts w:ascii="Garamond" w:hAnsi="Garamond"/>
        </w:rPr>
        <w:t xml:space="preserve">The general position taken in gender studies and queer studies is that there is </w:t>
      </w:r>
      <w:r w:rsidRPr="00E54CBF">
        <w:rPr>
          <w:rFonts w:ascii="Garamond" w:hAnsi="Garamond"/>
          <w:i/>
        </w:rPr>
        <w:t>no</w:t>
      </w:r>
      <w:r w:rsidRPr="00E54CBF">
        <w:rPr>
          <w:rFonts w:ascii="Garamond" w:hAnsi="Garamond"/>
        </w:rPr>
        <w:t xml:space="preserve"> natural alignment of biological sex, sexuality, gender identity and gender roles.</w:t>
      </w:r>
    </w:p>
    <w:p w14:paraId="11783B02" w14:textId="06A144B0" w:rsidR="00DC36A8" w:rsidRPr="00E54CBF" w:rsidRDefault="00DC36A8" w:rsidP="00C33A21">
      <w:pPr>
        <w:pStyle w:val="ListParagraph"/>
        <w:numPr>
          <w:ilvl w:val="0"/>
          <w:numId w:val="3"/>
        </w:numPr>
        <w:spacing w:line="360" w:lineRule="auto"/>
        <w:rPr>
          <w:rFonts w:ascii="Garamond" w:hAnsi="Garamond"/>
        </w:rPr>
      </w:pPr>
      <w:r w:rsidRPr="00E54CBF">
        <w:rPr>
          <w:rFonts w:ascii="Garamond" w:hAnsi="Garamond"/>
        </w:rPr>
        <w:t>So-called ‘normality’ is simply an arbitrary position on a long continuum of potential experiences, identities and behaviours.</w:t>
      </w:r>
    </w:p>
    <w:p w14:paraId="02BC927B" w14:textId="77777777" w:rsidR="00DC36A8" w:rsidRPr="00E54CBF" w:rsidRDefault="00DC36A8" w:rsidP="00C33A21">
      <w:pPr>
        <w:spacing w:line="360" w:lineRule="auto"/>
        <w:rPr>
          <w:rFonts w:ascii="Garamond" w:hAnsi="Garamond"/>
        </w:rPr>
      </w:pPr>
    </w:p>
    <w:p w14:paraId="47A2F50E" w14:textId="168DA297" w:rsidR="00CB72F5" w:rsidRPr="00E54CBF" w:rsidRDefault="001A468B" w:rsidP="00BF50A0">
      <w:pPr>
        <w:spacing w:line="480" w:lineRule="auto"/>
        <w:rPr>
          <w:rFonts w:ascii="Garamond" w:hAnsi="Garamond"/>
        </w:rPr>
      </w:pPr>
      <w:r w:rsidRPr="00E54CBF">
        <w:rPr>
          <w:rFonts w:ascii="Garamond" w:hAnsi="Garamond"/>
        </w:rPr>
        <w:t xml:space="preserve">Questions about seminar sheet: </w:t>
      </w:r>
      <w:r w:rsidR="00DC36A8" w:rsidRPr="00E54CBF">
        <w:rPr>
          <w:rFonts w:ascii="Garamond" w:hAnsi="Garamond"/>
        </w:rPr>
        <w:t xml:space="preserve">you may need to </w:t>
      </w:r>
      <w:r w:rsidRPr="00E54CBF">
        <w:rPr>
          <w:rFonts w:ascii="Garamond" w:hAnsi="Garamond"/>
        </w:rPr>
        <w:t>look up examples of ‘queer’ reading online.</w:t>
      </w:r>
      <w:r w:rsidR="00CB72F5" w:rsidRPr="00E54CBF">
        <w:rPr>
          <w:rFonts w:ascii="Garamond" w:hAnsi="Garamond"/>
        </w:rPr>
        <w:t xml:space="preserve"> Simon Gaunt’s last chapter in </w:t>
      </w:r>
      <w:r w:rsidR="00CB72F5" w:rsidRPr="00E54CBF">
        <w:rPr>
          <w:rFonts w:ascii="Garamond" w:hAnsi="Garamond"/>
          <w:i/>
        </w:rPr>
        <w:t>Love and Death in Medieval French and Occitan Courtly Literature</w:t>
      </w:r>
      <w:r w:rsidR="00CB72F5" w:rsidRPr="00E54CBF">
        <w:rPr>
          <w:rFonts w:ascii="Garamond" w:hAnsi="Garamond"/>
        </w:rPr>
        <w:t xml:space="preserve"> (Oxford: OUP, 2006) </w:t>
      </w:r>
      <w:r w:rsidR="00E54CBF" w:rsidRPr="00E54CBF">
        <w:rPr>
          <w:rFonts w:ascii="Garamond" w:hAnsi="Garamond"/>
        </w:rPr>
        <w:t xml:space="preserve">with </w:t>
      </w:r>
      <w:r w:rsidR="00CB72F5" w:rsidRPr="00E54CBF">
        <w:rPr>
          <w:rFonts w:ascii="Garamond" w:hAnsi="Garamond"/>
        </w:rPr>
        <w:t>whi</w:t>
      </w:r>
      <w:r w:rsidR="00E54CBF" w:rsidRPr="00E54CBF">
        <w:rPr>
          <w:rFonts w:ascii="Garamond" w:hAnsi="Garamond"/>
        </w:rPr>
        <w:t xml:space="preserve">ch you will already be familiar, </w:t>
      </w:r>
      <w:r w:rsidR="00CB72F5" w:rsidRPr="00E54CBF">
        <w:rPr>
          <w:rFonts w:ascii="Garamond" w:hAnsi="Garamond"/>
        </w:rPr>
        <w:t>might be a useful model to consider.</w:t>
      </w:r>
    </w:p>
    <w:p w14:paraId="23D9F504" w14:textId="5CB974BE" w:rsidR="0093145D" w:rsidRPr="00E54CBF" w:rsidRDefault="0093145D" w:rsidP="00C33A21">
      <w:pPr>
        <w:spacing w:line="360" w:lineRule="auto"/>
        <w:rPr>
          <w:rFonts w:ascii="Garamond" w:hAnsi="Garamond"/>
        </w:rPr>
      </w:pPr>
    </w:p>
    <w:p w14:paraId="7B995C03" w14:textId="77777777" w:rsidR="0093145D" w:rsidRPr="00E54CBF" w:rsidRDefault="0093145D" w:rsidP="00C33A21">
      <w:pPr>
        <w:spacing w:line="360" w:lineRule="auto"/>
        <w:rPr>
          <w:rFonts w:ascii="Garamond" w:hAnsi="Garamond"/>
        </w:rPr>
      </w:pPr>
    </w:p>
    <w:p w14:paraId="456BDCD2" w14:textId="77777777" w:rsidR="0093145D" w:rsidRPr="00E54CBF" w:rsidRDefault="0093145D" w:rsidP="00C33A21">
      <w:pPr>
        <w:spacing w:line="360" w:lineRule="auto"/>
        <w:rPr>
          <w:rFonts w:ascii="Garamond" w:hAnsi="Garamond"/>
        </w:rPr>
      </w:pPr>
    </w:p>
    <w:p w14:paraId="31DCB570" w14:textId="77777777" w:rsidR="006F313A" w:rsidRPr="00E54CBF" w:rsidRDefault="006F313A" w:rsidP="00C33A21">
      <w:pPr>
        <w:spacing w:line="360" w:lineRule="auto"/>
        <w:rPr>
          <w:rFonts w:ascii="Garamond" w:hAnsi="Garamond"/>
        </w:rPr>
      </w:pPr>
    </w:p>
    <w:p w14:paraId="7B294E9E" w14:textId="77777777" w:rsidR="006F313A" w:rsidRPr="00E54CBF" w:rsidRDefault="006F313A" w:rsidP="00C33A21">
      <w:pPr>
        <w:spacing w:line="360" w:lineRule="auto"/>
        <w:rPr>
          <w:rFonts w:ascii="Garamond" w:hAnsi="Garamond"/>
        </w:rPr>
      </w:pPr>
    </w:p>
    <w:p w14:paraId="7ABA07CB" w14:textId="77777777" w:rsidR="006F313A" w:rsidRPr="00E54CBF" w:rsidRDefault="006F313A" w:rsidP="00C33A21">
      <w:pPr>
        <w:spacing w:line="360" w:lineRule="auto"/>
        <w:rPr>
          <w:rFonts w:ascii="Garamond" w:hAnsi="Garamond"/>
        </w:rPr>
      </w:pPr>
    </w:p>
    <w:sectPr w:rsidR="006F313A" w:rsidRPr="00E54CBF" w:rsidSect="00A539B2">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8D4779" w14:textId="77777777" w:rsidR="007A06C9" w:rsidRDefault="007A06C9" w:rsidP="004D05FD">
      <w:r>
        <w:separator/>
      </w:r>
    </w:p>
  </w:endnote>
  <w:endnote w:type="continuationSeparator" w:id="0">
    <w:p w14:paraId="3535D69E" w14:textId="77777777" w:rsidR="007A06C9" w:rsidRDefault="007A06C9" w:rsidP="004D05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Pr>
      <w:id w:val="-1652210034"/>
      <w:docPartObj>
        <w:docPartGallery w:val="Page Numbers (Bottom of Page)"/>
        <w:docPartUnique/>
      </w:docPartObj>
    </w:sdtPr>
    <w:sdtEndPr>
      <w:rPr>
        <w:noProof/>
      </w:rPr>
    </w:sdtEndPr>
    <w:sdtContent>
      <w:p w14:paraId="3F369401" w14:textId="4235CA31" w:rsidR="007A06C9" w:rsidRPr="00260455" w:rsidRDefault="007A06C9">
        <w:pPr>
          <w:pStyle w:val="Footer"/>
          <w:rPr>
            <w:sz w:val="20"/>
            <w:szCs w:val="20"/>
          </w:rPr>
        </w:pPr>
        <w:r w:rsidRPr="00260455">
          <w:rPr>
            <w:sz w:val="20"/>
            <w:szCs w:val="20"/>
          </w:rPr>
          <w:fldChar w:fldCharType="begin"/>
        </w:r>
        <w:r w:rsidRPr="00260455">
          <w:rPr>
            <w:sz w:val="20"/>
            <w:szCs w:val="20"/>
          </w:rPr>
          <w:instrText xml:space="preserve"> PAGE   \* MERGEFORMAT </w:instrText>
        </w:r>
        <w:r w:rsidRPr="00260455">
          <w:rPr>
            <w:sz w:val="20"/>
            <w:szCs w:val="20"/>
          </w:rPr>
          <w:fldChar w:fldCharType="separate"/>
        </w:r>
        <w:r w:rsidR="00CA75E8">
          <w:rPr>
            <w:noProof/>
            <w:sz w:val="20"/>
            <w:szCs w:val="20"/>
          </w:rPr>
          <w:t>7</w:t>
        </w:r>
        <w:r w:rsidRPr="00260455">
          <w:rPr>
            <w:noProof/>
            <w:sz w:val="20"/>
            <w:szCs w:val="20"/>
          </w:rPr>
          <w:fldChar w:fldCharType="end"/>
        </w:r>
        <w:r w:rsidRPr="00260455">
          <w:rPr>
            <w:noProof/>
            <w:sz w:val="20"/>
            <w:szCs w:val="20"/>
          </w:rPr>
          <w:tab/>
        </w:r>
        <w:r w:rsidRPr="00260455">
          <w:rPr>
            <w:noProof/>
            <w:sz w:val="20"/>
            <w:szCs w:val="20"/>
          </w:rPr>
          <w:tab/>
          <w:t>SW 2013</w:t>
        </w:r>
      </w:p>
    </w:sdtContent>
  </w:sdt>
  <w:p w14:paraId="64A4476A" w14:textId="77777777" w:rsidR="007A06C9" w:rsidRDefault="007A06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1DFA1F" w14:textId="77777777" w:rsidR="007A06C9" w:rsidRDefault="007A06C9" w:rsidP="004D05FD">
      <w:r>
        <w:separator/>
      </w:r>
    </w:p>
  </w:footnote>
  <w:footnote w:type="continuationSeparator" w:id="0">
    <w:p w14:paraId="079C3094" w14:textId="77777777" w:rsidR="007A06C9" w:rsidRDefault="007A06C9" w:rsidP="004D05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D72AF"/>
    <w:multiLevelType w:val="hybridMultilevel"/>
    <w:tmpl w:val="82C06CDC"/>
    <w:lvl w:ilvl="0" w:tplc="D9E23048">
      <w:start w:val="1000"/>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6125DAC"/>
    <w:multiLevelType w:val="hybridMultilevel"/>
    <w:tmpl w:val="FC5AD0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4668B7"/>
    <w:multiLevelType w:val="hybridMultilevel"/>
    <w:tmpl w:val="FF26F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7C7135"/>
    <w:multiLevelType w:val="hybridMultilevel"/>
    <w:tmpl w:val="BBD8F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13A"/>
    <w:rsid w:val="00033910"/>
    <w:rsid w:val="000415F9"/>
    <w:rsid w:val="000624F9"/>
    <w:rsid w:val="000F7BE1"/>
    <w:rsid w:val="001A468B"/>
    <w:rsid w:val="00213D69"/>
    <w:rsid w:val="00226711"/>
    <w:rsid w:val="00260455"/>
    <w:rsid w:val="002C12F9"/>
    <w:rsid w:val="0032547F"/>
    <w:rsid w:val="00346DF0"/>
    <w:rsid w:val="003E710D"/>
    <w:rsid w:val="004332A5"/>
    <w:rsid w:val="0048535A"/>
    <w:rsid w:val="004D05FD"/>
    <w:rsid w:val="004E1A27"/>
    <w:rsid w:val="00536C3B"/>
    <w:rsid w:val="005E0F7F"/>
    <w:rsid w:val="005E6A2F"/>
    <w:rsid w:val="005F2E4A"/>
    <w:rsid w:val="00652C1F"/>
    <w:rsid w:val="006F313A"/>
    <w:rsid w:val="0070544E"/>
    <w:rsid w:val="007A039F"/>
    <w:rsid w:val="007A06C9"/>
    <w:rsid w:val="007A2E7C"/>
    <w:rsid w:val="00837726"/>
    <w:rsid w:val="00855EAF"/>
    <w:rsid w:val="008716FF"/>
    <w:rsid w:val="008A6FFD"/>
    <w:rsid w:val="008D5D3D"/>
    <w:rsid w:val="008E040D"/>
    <w:rsid w:val="00927707"/>
    <w:rsid w:val="0093145D"/>
    <w:rsid w:val="00960BD5"/>
    <w:rsid w:val="00966A3E"/>
    <w:rsid w:val="009F1FD5"/>
    <w:rsid w:val="00A4561D"/>
    <w:rsid w:val="00A539B2"/>
    <w:rsid w:val="00A80BE5"/>
    <w:rsid w:val="00AE6E59"/>
    <w:rsid w:val="00B21934"/>
    <w:rsid w:val="00B47C83"/>
    <w:rsid w:val="00B55F25"/>
    <w:rsid w:val="00B74F62"/>
    <w:rsid w:val="00BF50A0"/>
    <w:rsid w:val="00C0290D"/>
    <w:rsid w:val="00C02A4E"/>
    <w:rsid w:val="00C33A21"/>
    <w:rsid w:val="00C65380"/>
    <w:rsid w:val="00CA75E8"/>
    <w:rsid w:val="00CB72F5"/>
    <w:rsid w:val="00CE5009"/>
    <w:rsid w:val="00D05497"/>
    <w:rsid w:val="00D342AD"/>
    <w:rsid w:val="00DC36A8"/>
    <w:rsid w:val="00DD31CA"/>
    <w:rsid w:val="00DD69CF"/>
    <w:rsid w:val="00E31464"/>
    <w:rsid w:val="00E341FD"/>
    <w:rsid w:val="00E40806"/>
    <w:rsid w:val="00E54CBF"/>
    <w:rsid w:val="00E6170E"/>
    <w:rsid w:val="00E739FB"/>
    <w:rsid w:val="00E852F2"/>
    <w:rsid w:val="00F43DE7"/>
    <w:rsid w:val="00F838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DA1C9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A3E"/>
    <w:pPr>
      <w:ind w:left="720"/>
      <w:contextualSpacing/>
    </w:pPr>
  </w:style>
  <w:style w:type="character" w:styleId="Hyperlink">
    <w:name w:val="Hyperlink"/>
    <w:basedOn w:val="DefaultParagraphFont"/>
    <w:uiPriority w:val="99"/>
    <w:unhideWhenUsed/>
    <w:rsid w:val="004E1A27"/>
    <w:rPr>
      <w:color w:val="0000FF" w:themeColor="hyperlink"/>
      <w:u w:val="single"/>
    </w:rPr>
  </w:style>
  <w:style w:type="paragraph" w:styleId="FootnoteText">
    <w:name w:val="footnote text"/>
    <w:basedOn w:val="Normal"/>
    <w:link w:val="FootnoteTextChar"/>
    <w:uiPriority w:val="99"/>
    <w:unhideWhenUsed/>
    <w:rsid w:val="004D05FD"/>
    <w:rPr>
      <w:rFonts w:ascii="Times New Roman" w:eastAsia="Times New Roman" w:hAnsi="Times New Roman" w:cs="Times New Roman"/>
    </w:rPr>
  </w:style>
  <w:style w:type="character" w:customStyle="1" w:styleId="FootnoteTextChar">
    <w:name w:val="Footnote Text Char"/>
    <w:basedOn w:val="DefaultParagraphFont"/>
    <w:link w:val="FootnoteText"/>
    <w:uiPriority w:val="99"/>
    <w:rsid w:val="004D05FD"/>
    <w:rPr>
      <w:rFonts w:ascii="Times New Roman" w:eastAsia="Times New Roman" w:hAnsi="Times New Roman" w:cs="Times New Roman"/>
      <w:lang w:val="en-GB"/>
    </w:rPr>
  </w:style>
  <w:style w:type="character" w:styleId="FootnoteReference">
    <w:name w:val="footnote reference"/>
    <w:basedOn w:val="DefaultParagraphFont"/>
    <w:uiPriority w:val="99"/>
    <w:unhideWhenUsed/>
    <w:rsid w:val="004D05FD"/>
    <w:rPr>
      <w:vertAlign w:val="superscript"/>
    </w:rPr>
  </w:style>
  <w:style w:type="paragraph" w:styleId="Header">
    <w:name w:val="header"/>
    <w:basedOn w:val="Normal"/>
    <w:link w:val="HeaderChar"/>
    <w:uiPriority w:val="99"/>
    <w:unhideWhenUsed/>
    <w:rsid w:val="00260455"/>
    <w:pPr>
      <w:tabs>
        <w:tab w:val="center" w:pos="4513"/>
        <w:tab w:val="right" w:pos="9026"/>
      </w:tabs>
    </w:pPr>
  </w:style>
  <w:style w:type="character" w:customStyle="1" w:styleId="HeaderChar">
    <w:name w:val="Header Char"/>
    <w:basedOn w:val="DefaultParagraphFont"/>
    <w:link w:val="Header"/>
    <w:uiPriority w:val="99"/>
    <w:rsid w:val="00260455"/>
    <w:rPr>
      <w:lang w:val="en-GB"/>
    </w:rPr>
  </w:style>
  <w:style w:type="paragraph" w:styleId="Footer">
    <w:name w:val="footer"/>
    <w:basedOn w:val="Normal"/>
    <w:link w:val="FooterChar"/>
    <w:uiPriority w:val="99"/>
    <w:unhideWhenUsed/>
    <w:rsid w:val="00260455"/>
    <w:pPr>
      <w:tabs>
        <w:tab w:val="center" w:pos="4513"/>
        <w:tab w:val="right" w:pos="9026"/>
      </w:tabs>
    </w:pPr>
  </w:style>
  <w:style w:type="character" w:customStyle="1" w:styleId="FooterChar">
    <w:name w:val="Footer Char"/>
    <w:basedOn w:val="DefaultParagraphFont"/>
    <w:link w:val="Footer"/>
    <w:uiPriority w:val="99"/>
    <w:rsid w:val="00260455"/>
    <w:rPr>
      <w:lang w:val="en-GB"/>
    </w:rPr>
  </w:style>
  <w:style w:type="paragraph" w:styleId="BalloonText">
    <w:name w:val="Balloon Text"/>
    <w:basedOn w:val="Normal"/>
    <w:link w:val="BalloonTextChar"/>
    <w:uiPriority w:val="99"/>
    <w:semiHidden/>
    <w:unhideWhenUsed/>
    <w:rsid w:val="00260455"/>
    <w:rPr>
      <w:rFonts w:ascii="Tahoma" w:hAnsi="Tahoma" w:cs="Tahoma"/>
      <w:sz w:val="16"/>
      <w:szCs w:val="16"/>
    </w:rPr>
  </w:style>
  <w:style w:type="character" w:customStyle="1" w:styleId="BalloonTextChar">
    <w:name w:val="Balloon Text Char"/>
    <w:basedOn w:val="DefaultParagraphFont"/>
    <w:link w:val="BalloonText"/>
    <w:uiPriority w:val="99"/>
    <w:semiHidden/>
    <w:rsid w:val="00260455"/>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A3E"/>
    <w:pPr>
      <w:ind w:left="720"/>
      <w:contextualSpacing/>
    </w:pPr>
  </w:style>
  <w:style w:type="character" w:styleId="Hyperlink">
    <w:name w:val="Hyperlink"/>
    <w:basedOn w:val="DefaultParagraphFont"/>
    <w:uiPriority w:val="99"/>
    <w:unhideWhenUsed/>
    <w:rsid w:val="004E1A27"/>
    <w:rPr>
      <w:color w:val="0000FF" w:themeColor="hyperlink"/>
      <w:u w:val="single"/>
    </w:rPr>
  </w:style>
  <w:style w:type="paragraph" w:styleId="FootnoteText">
    <w:name w:val="footnote text"/>
    <w:basedOn w:val="Normal"/>
    <w:link w:val="FootnoteTextChar"/>
    <w:uiPriority w:val="99"/>
    <w:unhideWhenUsed/>
    <w:rsid w:val="004D05FD"/>
    <w:rPr>
      <w:rFonts w:ascii="Times New Roman" w:eastAsia="Times New Roman" w:hAnsi="Times New Roman" w:cs="Times New Roman"/>
    </w:rPr>
  </w:style>
  <w:style w:type="character" w:customStyle="1" w:styleId="FootnoteTextChar">
    <w:name w:val="Footnote Text Char"/>
    <w:basedOn w:val="DefaultParagraphFont"/>
    <w:link w:val="FootnoteText"/>
    <w:uiPriority w:val="99"/>
    <w:rsid w:val="004D05FD"/>
    <w:rPr>
      <w:rFonts w:ascii="Times New Roman" w:eastAsia="Times New Roman" w:hAnsi="Times New Roman" w:cs="Times New Roman"/>
      <w:lang w:val="en-GB"/>
    </w:rPr>
  </w:style>
  <w:style w:type="character" w:styleId="FootnoteReference">
    <w:name w:val="footnote reference"/>
    <w:basedOn w:val="DefaultParagraphFont"/>
    <w:uiPriority w:val="99"/>
    <w:unhideWhenUsed/>
    <w:rsid w:val="004D05FD"/>
    <w:rPr>
      <w:vertAlign w:val="superscript"/>
    </w:rPr>
  </w:style>
  <w:style w:type="paragraph" w:styleId="Header">
    <w:name w:val="header"/>
    <w:basedOn w:val="Normal"/>
    <w:link w:val="HeaderChar"/>
    <w:uiPriority w:val="99"/>
    <w:unhideWhenUsed/>
    <w:rsid w:val="00260455"/>
    <w:pPr>
      <w:tabs>
        <w:tab w:val="center" w:pos="4513"/>
        <w:tab w:val="right" w:pos="9026"/>
      </w:tabs>
    </w:pPr>
  </w:style>
  <w:style w:type="character" w:customStyle="1" w:styleId="HeaderChar">
    <w:name w:val="Header Char"/>
    <w:basedOn w:val="DefaultParagraphFont"/>
    <w:link w:val="Header"/>
    <w:uiPriority w:val="99"/>
    <w:rsid w:val="00260455"/>
    <w:rPr>
      <w:lang w:val="en-GB"/>
    </w:rPr>
  </w:style>
  <w:style w:type="paragraph" w:styleId="Footer">
    <w:name w:val="footer"/>
    <w:basedOn w:val="Normal"/>
    <w:link w:val="FooterChar"/>
    <w:uiPriority w:val="99"/>
    <w:unhideWhenUsed/>
    <w:rsid w:val="00260455"/>
    <w:pPr>
      <w:tabs>
        <w:tab w:val="center" w:pos="4513"/>
        <w:tab w:val="right" w:pos="9026"/>
      </w:tabs>
    </w:pPr>
  </w:style>
  <w:style w:type="character" w:customStyle="1" w:styleId="FooterChar">
    <w:name w:val="Footer Char"/>
    <w:basedOn w:val="DefaultParagraphFont"/>
    <w:link w:val="Footer"/>
    <w:uiPriority w:val="99"/>
    <w:rsid w:val="00260455"/>
    <w:rPr>
      <w:lang w:val="en-GB"/>
    </w:rPr>
  </w:style>
  <w:style w:type="paragraph" w:styleId="BalloonText">
    <w:name w:val="Balloon Text"/>
    <w:basedOn w:val="Normal"/>
    <w:link w:val="BalloonTextChar"/>
    <w:uiPriority w:val="99"/>
    <w:semiHidden/>
    <w:unhideWhenUsed/>
    <w:rsid w:val="00260455"/>
    <w:rPr>
      <w:rFonts w:ascii="Tahoma" w:hAnsi="Tahoma" w:cs="Tahoma"/>
      <w:sz w:val="16"/>
      <w:szCs w:val="16"/>
    </w:rPr>
  </w:style>
  <w:style w:type="character" w:customStyle="1" w:styleId="BalloonTextChar">
    <w:name w:val="Balloon Text Char"/>
    <w:basedOn w:val="DefaultParagraphFont"/>
    <w:link w:val="BalloonText"/>
    <w:uiPriority w:val="99"/>
    <w:semiHidden/>
    <w:rsid w:val="00260455"/>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48576607</Template>
  <TotalTime>29</TotalTime>
  <Pages>11</Pages>
  <Words>3852</Words>
  <Characters>20378</Characters>
  <Application>Microsoft Office Word</Application>
  <DocSecurity>0</DocSecurity>
  <Lines>384</Lines>
  <Paragraphs>83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Susannah Wilson</dc:creator>
  <cp:lastModifiedBy>Wilson, Susannah</cp:lastModifiedBy>
  <cp:revision>5</cp:revision>
  <cp:lastPrinted>2015-04-24T10:48:00Z</cp:lastPrinted>
  <dcterms:created xsi:type="dcterms:W3CDTF">2015-04-15T14:13:00Z</dcterms:created>
  <dcterms:modified xsi:type="dcterms:W3CDTF">2015-04-24T10:48:00Z</dcterms:modified>
</cp:coreProperties>
</file>