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5546" w:rsidRPr="00605546" w:rsidRDefault="00605546" w:rsidP="00605546">
      <w:pPr>
        <w:rPr>
          <w:rFonts w:ascii="Calibri" w:hAnsi="Calibri"/>
          <w:b/>
          <w:lang w:val="fr-FR"/>
        </w:rPr>
      </w:pPr>
      <w:r>
        <w:rPr>
          <w:rFonts w:ascii="Calibri" w:hAnsi="Calibri"/>
          <w:b/>
          <w:lang w:val="fr-FR"/>
        </w:rPr>
        <w:t xml:space="preserve">FR248 Lecture </w:t>
      </w:r>
      <w:proofErr w:type="spellStart"/>
      <w:r>
        <w:rPr>
          <w:rFonts w:ascii="Calibri" w:hAnsi="Calibri"/>
          <w:b/>
          <w:lang w:val="fr-FR"/>
        </w:rPr>
        <w:t>Week</w:t>
      </w:r>
      <w:proofErr w:type="spellEnd"/>
      <w:r>
        <w:rPr>
          <w:rFonts w:ascii="Calibri" w:hAnsi="Calibri"/>
          <w:b/>
          <w:lang w:val="fr-FR"/>
        </w:rPr>
        <w:t xml:space="preserve"> 9</w:t>
      </w:r>
      <w:r w:rsidRPr="00605546">
        <w:rPr>
          <w:rFonts w:ascii="Calibri" w:hAnsi="Calibri"/>
          <w:b/>
          <w:lang w:val="fr-FR"/>
        </w:rPr>
        <w:t xml:space="preserve">   </w:t>
      </w:r>
    </w:p>
    <w:p w:rsidR="00605546" w:rsidRDefault="00605546" w:rsidP="00605546">
      <w:pPr>
        <w:rPr>
          <w:rFonts w:ascii="Calibri" w:hAnsi="Calibri"/>
          <w:lang w:val="fr-FR"/>
        </w:rPr>
      </w:pPr>
      <w:r w:rsidRPr="00605546">
        <w:rPr>
          <w:rFonts w:ascii="Calibri" w:hAnsi="Calibri"/>
          <w:i/>
          <w:lang w:val="fr-FR"/>
        </w:rPr>
        <w:t>Meursault, contre-enquête</w:t>
      </w:r>
      <w:r w:rsidRPr="00605546">
        <w:rPr>
          <w:rFonts w:ascii="Calibri" w:hAnsi="Calibri"/>
          <w:lang w:val="fr-FR"/>
        </w:rPr>
        <w:t xml:space="preserve"> by Kamel DAOUD</w:t>
      </w:r>
    </w:p>
    <w:p w:rsidR="00605546" w:rsidRDefault="00605546" w:rsidP="00605546">
      <w:pPr>
        <w:rPr>
          <w:rFonts w:cs="Arial"/>
        </w:rPr>
      </w:pPr>
      <w:r w:rsidRPr="00605546">
        <w:rPr>
          <w:rFonts w:ascii="Calibri" w:hAnsi="Calibri"/>
        </w:rPr>
        <w:t>T</w:t>
      </w:r>
      <w:r>
        <w:rPr>
          <w:rFonts w:ascii="Calibri" w:hAnsi="Calibri"/>
        </w:rPr>
        <w:t>endency</w:t>
      </w:r>
      <w:r w:rsidRPr="00605546">
        <w:rPr>
          <w:rFonts w:cs="Arial"/>
        </w:rPr>
        <w:t xml:space="preserve"> </w:t>
      </w:r>
      <w:r>
        <w:rPr>
          <w:rFonts w:cs="Arial"/>
        </w:rPr>
        <w:t xml:space="preserve">to read </w:t>
      </w:r>
      <w:proofErr w:type="spellStart"/>
      <w:proofErr w:type="gramStart"/>
      <w:r>
        <w:rPr>
          <w:rFonts w:cs="Arial"/>
          <w:i/>
        </w:rPr>
        <w:t>L’Étranger</w:t>
      </w:r>
      <w:proofErr w:type="spellEnd"/>
      <w:r>
        <w:rPr>
          <w:rFonts w:cs="Arial"/>
          <w:i/>
        </w:rPr>
        <w:t xml:space="preserve"> </w:t>
      </w:r>
      <w:r>
        <w:rPr>
          <w:rFonts w:cs="Arial"/>
        </w:rPr>
        <w:t xml:space="preserve"> as</w:t>
      </w:r>
      <w:proofErr w:type="gramEnd"/>
      <w:r>
        <w:rPr>
          <w:rFonts w:cs="Arial"/>
        </w:rPr>
        <w:t xml:space="preserve"> a novel completely disconnected from its Algerian context</w:t>
      </w:r>
      <w:r w:rsidR="00553736">
        <w:rPr>
          <w:rFonts w:cs="Arial"/>
        </w:rPr>
        <w:t>:</w:t>
      </w:r>
    </w:p>
    <w:p w:rsidR="00553736" w:rsidRDefault="00553736" w:rsidP="00553736">
      <w:pPr>
        <w:rPr>
          <w:rFonts w:cs="Arial"/>
          <w:lang w:val="fr-FR"/>
        </w:rPr>
      </w:pPr>
      <w:r w:rsidRPr="00553736">
        <w:rPr>
          <w:rFonts w:cs="Arial"/>
          <w:lang w:val="fr-FR"/>
        </w:rPr>
        <w:t>[C]</w:t>
      </w:r>
      <w:proofErr w:type="spellStart"/>
      <w:r w:rsidRPr="001A1EA6">
        <w:rPr>
          <w:rFonts w:cs="Arial"/>
          <w:lang w:val="fr-FR"/>
        </w:rPr>
        <w:t>omment</w:t>
      </w:r>
      <w:proofErr w:type="spellEnd"/>
      <w:r w:rsidRPr="001A1EA6">
        <w:rPr>
          <w:rFonts w:cs="Arial"/>
          <w:lang w:val="fr-FR"/>
        </w:rPr>
        <w:t xml:space="preserve"> fallait-il comprendre ce person</w:t>
      </w:r>
      <w:r>
        <w:rPr>
          <w:rFonts w:cs="Arial"/>
          <w:lang w:val="fr-FR"/>
        </w:rPr>
        <w:t>n</w:t>
      </w:r>
      <w:r w:rsidRPr="001A1EA6">
        <w:rPr>
          <w:rFonts w:cs="Arial"/>
          <w:lang w:val="fr-FR"/>
        </w:rPr>
        <w:t xml:space="preserve">age, qui, au lendemain de la mort de sa mère, </w:t>
      </w:r>
      <w:r>
        <w:rPr>
          <w:rFonts w:cs="Arial"/>
          <w:lang w:val="fr-FR"/>
        </w:rPr>
        <w:t>‘</w:t>
      </w:r>
      <w:r w:rsidRPr="001A1EA6">
        <w:rPr>
          <w:rFonts w:cs="Arial"/>
          <w:lang w:val="fr-FR"/>
        </w:rPr>
        <w:t xml:space="preserve">prenait des bains, commençait une liaison irrégulière et allait rire </w:t>
      </w:r>
      <w:r>
        <w:rPr>
          <w:rFonts w:cs="Arial"/>
          <w:lang w:val="fr-FR"/>
        </w:rPr>
        <w:t>devant</w:t>
      </w:r>
      <w:r w:rsidRPr="001A1EA6">
        <w:rPr>
          <w:rFonts w:cs="Arial"/>
          <w:lang w:val="fr-FR"/>
        </w:rPr>
        <w:t xml:space="preserve"> un film comique</w:t>
      </w:r>
      <w:r>
        <w:rPr>
          <w:rFonts w:cs="Arial"/>
          <w:lang w:val="fr-FR"/>
        </w:rPr>
        <w:t>’</w:t>
      </w:r>
      <w:r w:rsidRPr="001A1EA6">
        <w:rPr>
          <w:rFonts w:cs="Arial"/>
          <w:lang w:val="fr-FR"/>
        </w:rPr>
        <w:t>, qui</w:t>
      </w:r>
      <w:r>
        <w:rPr>
          <w:rFonts w:cs="Arial"/>
          <w:lang w:val="fr-FR"/>
        </w:rPr>
        <w:t xml:space="preserve"> tuait un arabe ‘</w:t>
      </w:r>
      <w:r w:rsidRPr="001A1EA6">
        <w:rPr>
          <w:rFonts w:cs="Arial"/>
          <w:lang w:val="fr-FR"/>
        </w:rPr>
        <w:t>à cause du soleil</w:t>
      </w:r>
      <w:r>
        <w:rPr>
          <w:rFonts w:cs="Arial"/>
          <w:lang w:val="fr-FR"/>
        </w:rPr>
        <w:t>’</w:t>
      </w:r>
      <w:r w:rsidRPr="001A1EA6">
        <w:rPr>
          <w:rFonts w:cs="Arial"/>
          <w:lang w:val="fr-FR"/>
        </w:rPr>
        <w:t xml:space="preserve"> et qui, la veille de son </w:t>
      </w:r>
      <w:r>
        <w:rPr>
          <w:rFonts w:cs="Arial"/>
          <w:lang w:val="fr-FR"/>
        </w:rPr>
        <w:t>exé</w:t>
      </w:r>
      <w:r w:rsidRPr="001A1EA6">
        <w:rPr>
          <w:rFonts w:cs="Arial"/>
          <w:lang w:val="fr-FR"/>
        </w:rPr>
        <w:t>cution capital</w:t>
      </w:r>
      <w:r>
        <w:rPr>
          <w:rFonts w:cs="Arial"/>
          <w:lang w:val="fr-FR"/>
        </w:rPr>
        <w:t>e</w:t>
      </w:r>
      <w:r w:rsidRPr="001A1EA6">
        <w:rPr>
          <w:rFonts w:cs="Arial"/>
          <w:lang w:val="fr-FR"/>
        </w:rPr>
        <w:t xml:space="preserve">, affirmant qu’il </w:t>
      </w:r>
      <w:r>
        <w:rPr>
          <w:rFonts w:cs="Arial"/>
          <w:lang w:val="fr-FR"/>
        </w:rPr>
        <w:t>‘</w:t>
      </w:r>
      <w:r w:rsidRPr="001A1EA6">
        <w:rPr>
          <w:rFonts w:cs="Arial"/>
          <w:lang w:val="fr-FR"/>
        </w:rPr>
        <w:t>avait été heureux et qu’il l</w:t>
      </w:r>
      <w:r>
        <w:rPr>
          <w:rFonts w:cs="Arial"/>
          <w:lang w:val="fr-FR"/>
        </w:rPr>
        <w:t>’était encore’, souhait beaucoup de spectateurs autour de l’échafaud […] </w:t>
      </w:r>
      <w:r w:rsidRPr="00FE7112">
        <w:rPr>
          <w:rFonts w:cs="Arial"/>
          <w:lang w:val="fr-FR"/>
        </w:rPr>
        <w:t xml:space="preserve">» (J.-P. Sartre, ‘Explication de </w:t>
      </w:r>
      <w:r w:rsidRPr="00FE7112">
        <w:rPr>
          <w:rFonts w:cs="Arial"/>
          <w:i/>
          <w:lang w:val="fr-FR"/>
        </w:rPr>
        <w:t>L’Étranger</w:t>
      </w:r>
      <w:r w:rsidRPr="00FE7112">
        <w:rPr>
          <w:rFonts w:cs="Arial"/>
          <w:lang w:val="fr-FR"/>
        </w:rPr>
        <w:t xml:space="preserve">, in </w:t>
      </w:r>
      <w:r w:rsidRPr="00FE7112">
        <w:rPr>
          <w:rFonts w:cs="Arial"/>
          <w:i/>
          <w:lang w:val="fr-FR"/>
        </w:rPr>
        <w:t>Situations I</w:t>
      </w:r>
      <w:r w:rsidRPr="00FE7112">
        <w:rPr>
          <w:rFonts w:cs="Arial"/>
          <w:lang w:val="fr-FR"/>
        </w:rPr>
        <w:t xml:space="preserve">, 1947, pp. </w:t>
      </w:r>
      <w:r>
        <w:rPr>
          <w:rFonts w:cs="Arial"/>
          <w:lang w:val="fr-FR"/>
        </w:rPr>
        <w:t>1</w:t>
      </w:r>
      <w:r w:rsidR="00A0415A">
        <w:rPr>
          <w:rFonts w:cs="Arial"/>
          <w:lang w:val="fr-FR"/>
        </w:rPr>
        <w:t>1</w:t>
      </w:r>
      <w:r>
        <w:rPr>
          <w:rFonts w:cs="Arial"/>
          <w:lang w:val="fr-FR"/>
        </w:rPr>
        <w:t>1)</w:t>
      </w:r>
    </w:p>
    <w:p w:rsidR="00553736" w:rsidRPr="00553736" w:rsidRDefault="00553736" w:rsidP="00553736">
      <w:pPr>
        <w:rPr>
          <w:rFonts w:cs="Arial"/>
        </w:rPr>
      </w:pPr>
      <w:r w:rsidRPr="00553736">
        <w:rPr>
          <w:rFonts w:cs="Arial"/>
        </w:rPr>
        <w:t>On ‘strangeness’ and the ‘absurd’:</w:t>
      </w:r>
    </w:p>
    <w:p w:rsidR="00553736" w:rsidRDefault="00553736" w:rsidP="00553736">
      <w:pPr>
        <w:rPr>
          <w:rFonts w:cs="Arial"/>
          <w:lang w:val="fr-FR"/>
        </w:rPr>
      </w:pPr>
      <w:r w:rsidRPr="007E1326">
        <w:rPr>
          <w:rFonts w:cs="Arial"/>
          <w:lang w:val="fr-FR"/>
        </w:rPr>
        <w:t>Qu’est-ce que l’absurde […</w:t>
      </w:r>
      <w:r>
        <w:rPr>
          <w:rFonts w:cs="Arial"/>
          <w:lang w:val="fr-FR"/>
        </w:rPr>
        <w:t xml:space="preserve">] : Rien de moins que le rapport de l’homme au monde. L’absurdité première manifeste avant tout un divorce : le divorce entre les aspirations de l’homme vers l’unité et le dualisme insurmontable de l’esprit et de la nature, entre l’élan de l’homme vers l’éternel et le caractère </w:t>
      </w:r>
      <w:r>
        <w:rPr>
          <w:rFonts w:cs="Arial"/>
          <w:i/>
          <w:lang w:val="fr-FR"/>
        </w:rPr>
        <w:t xml:space="preserve">fini </w:t>
      </w:r>
      <w:r>
        <w:rPr>
          <w:rFonts w:cs="Arial"/>
          <w:lang w:val="fr-FR"/>
        </w:rPr>
        <w:t xml:space="preserve"> de son existence […]. La mort, le pluralisme irréductible des vérités et des êtres, l’inintelligibilité du réel, le hasard, voilà les pôles de l’absurde (Ibid., p. 112).</w:t>
      </w:r>
    </w:p>
    <w:p w:rsidR="0041753C" w:rsidRDefault="00553736" w:rsidP="00553736">
      <w:pPr>
        <w:rPr>
          <w:rFonts w:cs="Arial"/>
        </w:rPr>
      </w:pPr>
      <w:r>
        <w:rPr>
          <w:rFonts w:cs="Arial"/>
        </w:rPr>
        <w:t xml:space="preserve">For Sartre, </w:t>
      </w:r>
      <w:proofErr w:type="spellStart"/>
      <w:r w:rsidRPr="007E1326">
        <w:rPr>
          <w:rFonts w:cs="Arial"/>
          <w:i/>
        </w:rPr>
        <w:t>L’Étranger</w:t>
      </w:r>
      <w:proofErr w:type="spellEnd"/>
      <w:r w:rsidRPr="00C2512E">
        <w:rPr>
          <w:rFonts w:cs="Arial"/>
        </w:rPr>
        <w:t xml:space="preserve"> </w:t>
      </w:r>
      <w:r>
        <w:rPr>
          <w:rFonts w:cs="Arial"/>
        </w:rPr>
        <w:t xml:space="preserve">is metaphysical and the context (history and geography) is irrelevant = Eurocentric and yet Sartre was an anti-colonial figure. </w:t>
      </w:r>
    </w:p>
    <w:p w:rsidR="00553736" w:rsidRDefault="00553736" w:rsidP="00553736">
      <w:pPr>
        <w:rPr>
          <w:rFonts w:cs="Arial"/>
        </w:rPr>
      </w:pPr>
      <w:r>
        <w:rPr>
          <w:rFonts w:cs="Arial"/>
        </w:rPr>
        <w:t>Haroun regrets Camus’</w:t>
      </w:r>
      <w:r w:rsidR="0041753C">
        <w:rPr>
          <w:rFonts w:cs="Arial"/>
        </w:rPr>
        <w:t xml:space="preserve">s Eurocentrism; his investigation is a political act in which Camus and Meursault (‘ton </w:t>
      </w:r>
      <w:proofErr w:type="spellStart"/>
      <w:r w:rsidR="0041753C">
        <w:rPr>
          <w:rFonts w:cs="Arial"/>
        </w:rPr>
        <w:t>héros</w:t>
      </w:r>
      <w:proofErr w:type="spellEnd"/>
      <w:r w:rsidR="0041753C">
        <w:rPr>
          <w:rFonts w:cs="Arial"/>
        </w:rPr>
        <w:t xml:space="preserve">’) are conflated </w:t>
      </w:r>
      <w:proofErr w:type="gramStart"/>
      <w:r w:rsidR="0041753C">
        <w:rPr>
          <w:rFonts w:cs="Arial"/>
        </w:rPr>
        <w:t>Vs</w:t>
      </w:r>
      <w:proofErr w:type="gramEnd"/>
      <w:r w:rsidR="0041753C">
        <w:rPr>
          <w:rFonts w:cs="Arial"/>
        </w:rPr>
        <w:t xml:space="preserve">. </w:t>
      </w:r>
      <w:proofErr w:type="spellStart"/>
      <w:r w:rsidR="0041753C">
        <w:rPr>
          <w:rFonts w:cs="Arial"/>
        </w:rPr>
        <w:t>narratological</w:t>
      </w:r>
      <w:proofErr w:type="spellEnd"/>
      <w:r w:rsidR="0041753C">
        <w:rPr>
          <w:rFonts w:cs="Arial"/>
        </w:rPr>
        <w:t xml:space="preserve"> common sense</w:t>
      </w:r>
    </w:p>
    <w:p w:rsidR="0041753C" w:rsidRDefault="0041753C" w:rsidP="00553736">
      <w:pPr>
        <w:rPr>
          <w:rFonts w:ascii="Calibri" w:hAnsi="Calibri"/>
        </w:rPr>
      </w:pPr>
      <w:r>
        <w:rPr>
          <w:rFonts w:cs="Arial"/>
        </w:rPr>
        <w:t xml:space="preserve">Murder of the Arab = imagined rather than committed; </w:t>
      </w:r>
      <w:proofErr w:type="spellStart"/>
      <w:r w:rsidRPr="007E1326">
        <w:rPr>
          <w:rFonts w:cs="Arial"/>
          <w:i/>
        </w:rPr>
        <w:t>L’Étranger</w:t>
      </w:r>
      <w:proofErr w:type="spellEnd"/>
      <w:r w:rsidRPr="00DE51E6">
        <w:rPr>
          <w:rFonts w:ascii="Calibri" w:hAnsi="Calibri"/>
        </w:rPr>
        <w:t xml:space="preserve"> </w:t>
      </w:r>
      <w:r>
        <w:rPr>
          <w:rFonts w:ascii="Calibri" w:hAnsi="Calibri"/>
        </w:rPr>
        <w:t xml:space="preserve">= </w:t>
      </w:r>
      <w:r w:rsidRPr="00DE51E6">
        <w:rPr>
          <w:rFonts w:ascii="Calibri" w:hAnsi="Calibri"/>
        </w:rPr>
        <w:t>body of evidence to incriminate the colonial system</w:t>
      </w:r>
    </w:p>
    <w:p w:rsidR="002A1E45" w:rsidRDefault="002A1E45" w:rsidP="00553736">
      <w:pPr>
        <w:rPr>
          <w:rFonts w:ascii="Calibri" w:hAnsi="Calibri"/>
        </w:rPr>
      </w:pPr>
      <w:r>
        <w:rPr>
          <w:rFonts w:ascii="Calibri" w:hAnsi="Calibri"/>
        </w:rPr>
        <w:t xml:space="preserve">Direct quotations from Camus’s texts but also focus on their silences (= as significant) – emphasis on </w:t>
      </w:r>
      <w:r w:rsidRPr="002A1E45">
        <w:rPr>
          <w:rFonts w:ascii="Calibri" w:hAnsi="Calibri"/>
          <w:i/>
        </w:rPr>
        <w:t>discourse</w:t>
      </w:r>
      <w:r>
        <w:rPr>
          <w:rFonts w:ascii="Calibri" w:hAnsi="Calibri"/>
        </w:rPr>
        <w:t xml:space="preserve">: gap between Camus’s political commitment (see </w:t>
      </w:r>
      <w:proofErr w:type="spellStart"/>
      <w:r>
        <w:rPr>
          <w:rFonts w:ascii="Calibri" w:hAnsi="Calibri"/>
          <w:i/>
        </w:rPr>
        <w:t>Chroniques</w:t>
      </w:r>
      <w:proofErr w:type="spellEnd"/>
      <w:r>
        <w:rPr>
          <w:rFonts w:ascii="Calibri" w:hAnsi="Calibri"/>
          <w:i/>
        </w:rPr>
        <w:t xml:space="preserve"> </w:t>
      </w:r>
      <w:proofErr w:type="spellStart"/>
      <w:r w:rsidRPr="002A1E45">
        <w:rPr>
          <w:rFonts w:ascii="Calibri" w:hAnsi="Calibri"/>
          <w:i/>
        </w:rPr>
        <w:t>algériennes</w:t>
      </w:r>
      <w:proofErr w:type="spellEnd"/>
      <w:r>
        <w:rPr>
          <w:rFonts w:ascii="Calibri" w:hAnsi="Calibri"/>
        </w:rPr>
        <w:t xml:space="preserve">) </w:t>
      </w:r>
      <w:r w:rsidRPr="002A1E45">
        <w:rPr>
          <w:rFonts w:ascii="Calibri" w:hAnsi="Calibri"/>
        </w:rPr>
        <w:t>and</w:t>
      </w:r>
      <w:r>
        <w:rPr>
          <w:rFonts w:ascii="Calibri" w:hAnsi="Calibri"/>
        </w:rPr>
        <w:t xml:space="preserve"> the ‘sub-conscious’ of his writing (//Malraux).</w:t>
      </w:r>
    </w:p>
    <w:p w:rsidR="00530C88" w:rsidRDefault="00530C88" w:rsidP="00553736">
      <w:pPr>
        <w:rPr>
          <w:rFonts w:ascii="Calibri" w:hAnsi="Calibri"/>
        </w:rPr>
      </w:pPr>
      <w:r>
        <w:rPr>
          <w:rFonts w:ascii="Calibri" w:hAnsi="Calibri"/>
        </w:rPr>
        <w:t xml:space="preserve">Haroun’s interpretative/investigative method is close to Edward Said’s in </w:t>
      </w:r>
      <w:r>
        <w:rPr>
          <w:rFonts w:ascii="Calibri" w:hAnsi="Calibri"/>
          <w:i/>
        </w:rPr>
        <w:t>Culture and Imperialism</w:t>
      </w:r>
      <w:r>
        <w:rPr>
          <w:rFonts w:ascii="Calibri" w:hAnsi="Calibri"/>
        </w:rPr>
        <w:t xml:space="preserve">: see </w:t>
      </w:r>
      <w:r>
        <w:rPr>
          <w:rFonts w:ascii="Calibri" w:hAnsi="Calibri"/>
          <w:i/>
        </w:rPr>
        <w:t xml:space="preserve">contrapuntal </w:t>
      </w:r>
      <w:r>
        <w:rPr>
          <w:rFonts w:ascii="Calibri" w:hAnsi="Calibri"/>
        </w:rPr>
        <w:t xml:space="preserve">reading of Jane Austen, George Orwell, André Malraux, </w:t>
      </w:r>
      <w:r>
        <w:rPr>
          <w:rFonts w:ascii="Calibri" w:hAnsi="Calibri"/>
          <w:i/>
        </w:rPr>
        <w:t xml:space="preserve">and </w:t>
      </w:r>
      <w:r>
        <w:rPr>
          <w:rFonts w:ascii="Calibri" w:hAnsi="Calibri"/>
        </w:rPr>
        <w:t xml:space="preserve">Camus = colonialism is often one of the </w:t>
      </w:r>
      <w:r w:rsidRPr="00530C88">
        <w:rPr>
          <w:rFonts w:ascii="Calibri" w:hAnsi="Calibri"/>
          <w:i/>
        </w:rPr>
        <w:t>counterpoints</w:t>
      </w:r>
      <w:r>
        <w:rPr>
          <w:rFonts w:ascii="Calibri" w:hAnsi="Calibri"/>
        </w:rPr>
        <w:t xml:space="preserve"> of modernist fiction: texts of the canon interpreted as ‘a polyphonic accompaniment to the expansion of Europe’ (Said, </w:t>
      </w:r>
      <w:r>
        <w:rPr>
          <w:rFonts w:ascii="Calibri" w:hAnsi="Calibri"/>
          <w:i/>
        </w:rPr>
        <w:t>C&amp;</w:t>
      </w:r>
      <w:r w:rsidRPr="004F1F4A">
        <w:rPr>
          <w:rFonts w:ascii="Calibri" w:hAnsi="Calibri"/>
          <w:i/>
        </w:rPr>
        <w:t>I</w:t>
      </w:r>
      <w:r>
        <w:rPr>
          <w:rFonts w:ascii="Calibri" w:hAnsi="Calibri"/>
        </w:rPr>
        <w:t>, p. 71).</w:t>
      </w:r>
    </w:p>
    <w:p w:rsidR="00530C88" w:rsidRDefault="00530C88" w:rsidP="00530C88">
      <w:pPr>
        <w:rPr>
          <w:rFonts w:ascii="Calibri" w:hAnsi="Calibri"/>
        </w:rPr>
      </w:pPr>
      <w:r>
        <w:rPr>
          <w:rFonts w:ascii="Calibri" w:hAnsi="Calibri"/>
        </w:rPr>
        <w:t xml:space="preserve">To read these major works [he is referring to Kipling’s </w:t>
      </w:r>
      <w:r w:rsidRPr="00024691">
        <w:rPr>
          <w:rFonts w:ascii="Calibri" w:hAnsi="Calibri"/>
          <w:i/>
        </w:rPr>
        <w:t>Kim</w:t>
      </w:r>
      <w:r>
        <w:rPr>
          <w:rFonts w:ascii="Calibri" w:hAnsi="Calibri"/>
        </w:rPr>
        <w:t xml:space="preserve">, Gide’s </w:t>
      </w:r>
      <w:proofErr w:type="spellStart"/>
      <w:r>
        <w:rPr>
          <w:rFonts w:ascii="Calibri" w:hAnsi="Calibri"/>
          <w:i/>
        </w:rPr>
        <w:t>L’Immoraliste</w:t>
      </w:r>
      <w:proofErr w:type="spellEnd"/>
      <w:r>
        <w:rPr>
          <w:rFonts w:ascii="Calibri" w:hAnsi="Calibri"/>
          <w:i/>
        </w:rPr>
        <w:t xml:space="preserve"> </w:t>
      </w:r>
      <w:r>
        <w:rPr>
          <w:rFonts w:ascii="Calibri" w:hAnsi="Calibri"/>
        </w:rPr>
        <w:t xml:space="preserve">and </w:t>
      </w:r>
      <w:proofErr w:type="spellStart"/>
      <w:r w:rsidRPr="00024691">
        <w:rPr>
          <w:rFonts w:cs="Arial"/>
          <w:i/>
        </w:rPr>
        <w:t>L’Étranger</w:t>
      </w:r>
      <w:proofErr w:type="spellEnd"/>
      <w:r>
        <w:rPr>
          <w:rFonts w:ascii="Calibri" w:hAnsi="Calibri"/>
        </w:rPr>
        <w:t xml:space="preserve">] of the imperial period retrospectively and </w:t>
      </w:r>
      <w:proofErr w:type="spellStart"/>
      <w:r>
        <w:rPr>
          <w:rFonts w:ascii="Calibri" w:hAnsi="Calibri"/>
        </w:rPr>
        <w:t>heterophonically</w:t>
      </w:r>
      <w:proofErr w:type="spellEnd"/>
      <w:r>
        <w:rPr>
          <w:rFonts w:ascii="Calibri" w:hAnsi="Calibri"/>
        </w:rPr>
        <w:t xml:space="preserve"> with other histories and traditions counterpointed against them, read them in the light of decolonization, is neither to slight their great aesthetic force nor treat them reductively as imperialist propaganda. Still, it is much graver mistake to read them stripped of their affiliations with the facts of power which informed and enabled them (</w:t>
      </w:r>
      <w:proofErr w:type="gramStart"/>
      <w:r>
        <w:rPr>
          <w:rFonts w:ascii="Calibri" w:hAnsi="Calibri"/>
        </w:rPr>
        <w:t>Ibid.,</w:t>
      </w:r>
      <w:proofErr w:type="gramEnd"/>
      <w:r>
        <w:rPr>
          <w:rFonts w:ascii="Calibri" w:hAnsi="Calibri"/>
        </w:rPr>
        <w:t xml:space="preserve"> 195). </w:t>
      </w:r>
    </w:p>
    <w:p w:rsidR="00530C88" w:rsidRDefault="00530C88" w:rsidP="00530C88">
      <w:pPr>
        <w:rPr>
          <w:rFonts w:ascii="Calibri" w:hAnsi="Calibri"/>
        </w:rPr>
      </w:pPr>
      <w:r>
        <w:rPr>
          <w:rFonts w:ascii="Calibri" w:hAnsi="Calibri"/>
        </w:rPr>
        <w:t>Haroun’s investigation is predicated upon the same premise: exploration of Camus’s ethnocentrism and inability to create indigenous characters (the ‘Arab’) – Haroun’s rejection of ‘</w:t>
      </w:r>
      <w:proofErr w:type="spellStart"/>
      <w:r>
        <w:rPr>
          <w:rFonts w:ascii="Calibri" w:hAnsi="Calibri"/>
        </w:rPr>
        <w:t>Arabness</w:t>
      </w:r>
      <w:proofErr w:type="spellEnd"/>
      <w:r>
        <w:rPr>
          <w:rFonts w:ascii="Calibri" w:hAnsi="Calibri"/>
        </w:rPr>
        <w:t>’:</w:t>
      </w:r>
    </w:p>
    <w:p w:rsidR="00530C88" w:rsidRPr="0082487E" w:rsidRDefault="00530C88" w:rsidP="00530C88">
      <w:pPr>
        <w:rPr>
          <w:rFonts w:cs="Arial"/>
          <w:lang w:val="fr-FR"/>
        </w:rPr>
      </w:pPr>
      <w:r w:rsidRPr="00E04151">
        <w:rPr>
          <w:rFonts w:cs="Arial"/>
          <w:i/>
          <w:lang w:val="fr-FR"/>
        </w:rPr>
        <w:lastRenderedPageBreak/>
        <w:t>Arabe</w:t>
      </w:r>
      <w:r w:rsidRPr="00E04151">
        <w:rPr>
          <w:rFonts w:cs="Arial"/>
          <w:lang w:val="fr-FR"/>
        </w:rPr>
        <w:t xml:space="preserve">, je ne me suis jamais senti arabe, tu sais. </w:t>
      </w:r>
      <w:r>
        <w:rPr>
          <w:rFonts w:cs="Arial"/>
          <w:lang w:val="fr-FR"/>
        </w:rPr>
        <w:t xml:space="preserve">C’est comme la négritude qui n’existe que dans le regard du Blanc. Dans le quartier, dans notre monde, on était musulman, on avait un prénom, un visage et des habitudes. </w:t>
      </w:r>
      <w:r w:rsidRPr="00A01EAF">
        <w:rPr>
          <w:rFonts w:cs="Arial"/>
          <w:lang w:val="fr-FR"/>
        </w:rPr>
        <w:t xml:space="preserve">Point. </w:t>
      </w:r>
      <w:r w:rsidRPr="00752E3D">
        <w:rPr>
          <w:rFonts w:cs="Arial"/>
          <w:lang w:val="fr-FR"/>
        </w:rPr>
        <w:t>Eux étaient les ‘étrangers’, les roumis que Dieu avait fait venir pour nous mettre à l’épreuve [</w:t>
      </w:r>
      <w:r>
        <w:rPr>
          <w:rFonts w:cs="Arial"/>
          <w:lang w:val="fr-FR"/>
        </w:rPr>
        <w:t xml:space="preserve">…]’ </w:t>
      </w:r>
      <w:r w:rsidRPr="0082487E">
        <w:rPr>
          <w:rFonts w:cs="Arial"/>
          <w:lang w:val="fr-FR"/>
        </w:rPr>
        <w:t xml:space="preserve">(p. 70). </w:t>
      </w:r>
    </w:p>
    <w:p w:rsidR="00530C88" w:rsidRPr="0082487E" w:rsidRDefault="0082487E" w:rsidP="00530C88">
      <w:pPr>
        <w:rPr>
          <w:rFonts w:cs="Arial"/>
          <w:lang w:val="fr-FR"/>
        </w:rPr>
      </w:pPr>
      <w:r w:rsidRPr="0082487E">
        <w:rPr>
          <w:rFonts w:ascii="Calibri" w:hAnsi="Calibri"/>
          <w:lang w:val="fr-FR"/>
        </w:rPr>
        <w:t xml:space="preserve">Négritude? Regard du blanc? </w:t>
      </w:r>
      <w:proofErr w:type="spellStart"/>
      <w:r w:rsidRPr="0082487E">
        <w:rPr>
          <w:rFonts w:ascii="Calibri" w:hAnsi="Calibri"/>
          <w:lang w:val="fr-FR"/>
        </w:rPr>
        <w:t>See</w:t>
      </w:r>
      <w:proofErr w:type="spellEnd"/>
      <w:r w:rsidRPr="0082487E">
        <w:rPr>
          <w:rFonts w:ascii="Calibri" w:hAnsi="Calibri"/>
          <w:lang w:val="fr-FR"/>
        </w:rPr>
        <w:t xml:space="preserve"> Jean-Paul Sartre: </w:t>
      </w:r>
      <w:proofErr w:type="spellStart"/>
      <w:r w:rsidRPr="0082487E">
        <w:rPr>
          <w:rFonts w:cs="Arial"/>
          <w:lang w:val="fr-FR"/>
        </w:rPr>
        <w:t>theo</w:t>
      </w:r>
      <w:r>
        <w:rPr>
          <w:rFonts w:cs="Arial"/>
          <w:lang w:val="fr-FR"/>
        </w:rPr>
        <w:t>risation</w:t>
      </w:r>
      <w:proofErr w:type="spellEnd"/>
      <w:r>
        <w:rPr>
          <w:rFonts w:cs="Arial"/>
          <w:lang w:val="fr-FR"/>
        </w:rPr>
        <w:t xml:space="preserve"> of </w:t>
      </w:r>
      <w:proofErr w:type="spellStart"/>
      <w:r>
        <w:rPr>
          <w:rFonts w:cs="Arial"/>
          <w:lang w:val="fr-FR"/>
        </w:rPr>
        <w:t>racism</w:t>
      </w:r>
      <w:proofErr w:type="spellEnd"/>
      <w:r>
        <w:rPr>
          <w:rFonts w:cs="Arial"/>
          <w:lang w:val="fr-FR"/>
        </w:rPr>
        <w:t xml:space="preserve"> in </w:t>
      </w:r>
      <w:r w:rsidRPr="0082487E">
        <w:rPr>
          <w:rFonts w:cs="Arial"/>
          <w:lang w:val="fr-FR"/>
        </w:rPr>
        <w:t>‘Le Regard’ (</w:t>
      </w:r>
      <w:r w:rsidRPr="0082487E">
        <w:rPr>
          <w:rFonts w:cs="Arial"/>
          <w:i/>
          <w:lang w:val="fr-FR"/>
        </w:rPr>
        <w:t>L’Être et le néant</w:t>
      </w:r>
      <w:r w:rsidRPr="0082487E">
        <w:rPr>
          <w:rFonts w:cs="Arial"/>
          <w:lang w:val="fr-FR"/>
        </w:rPr>
        <w:t>, 1943)</w:t>
      </w:r>
      <w:r>
        <w:rPr>
          <w:rFonts w:cs="Arial"/>
          <w:lang w:val="fr-FR"/>
        </w:rPr>
        <w:t xml:space="preserve"> – </w:t>
      </w:r>
      <w:proofErr w:type="spellStart"/>
      <w:r>
        <w:rPr>
          <w:rFonts w:cs="Arial"/>
          <w:lang w:val="fr-FR"/>
        </w:rPr>
        <w:t>see</w:t>
      </w:r>
      <w:proofErr w:type="spellEnd"/>
      <w:r>
        <w:rPr>
          <w:rFonts w:cs="Arial"/>
          <w:lang w:val="fr-FR"/>
        </w:rPr>
        <w:t xml:space="preserve"> </w:t>
      </w:r>
      <w:r>
        <w:rPr>
          <w:rFonts w:cs="Arial"/>
          <w:i/>
          <w:lang w:val="fr-FR"/>
        </w:rPr>
        <w:t>Réflexions sur la question juive</w:t>
      </w:r>
      <w:r>
        <w:rPr>
          <w:rFonts w:cs="Arial"/>
          <w:lang w:val="fr-FR"/>
        </w:rPr>
        <w:t xml:space="preserve"> (1946) and ‘Orphée noir’ (1948)</w:t>
      </w:r>
    </w:p>
    <w:p w:rsidR="0082487E" w:rsidRDefault="0082487E" w:rsidP="0082487E">
      <w:pPr>
        <w:rPr>
          <w:rFonts w:ascii="Calibri" w:hAnsi="Calibri"/>
        </w:rPr>
      </w:pPr>
      <w:proofErr w:type="spellStart"/>
      <w:r>
        <w:rPr>
          <w:rFonts w:cs="Arial"/>
          <w:i/>
        </w:rPr>
        <w:t>L’Étranger</w:t>
      </w:r>
      <w:proofErr w:type="spellEnd"/>
      <w:r w:rsidRPr="00752E3D">
        <w:rPr>
          <w:rFonts w:ascii="Calibri" w:hAnsi="Calibri"/>
        </w:rPr>
        <w:t xml:space="preserve"> </w:t>
      </w:r>
      <w:r>
        <w:rPr>
          <w:rFonts w:ascii="Calibri" w:hAnsi="Calibri"/>
        </w:rPr>
        <w:t>is exemplary of colonialism as a system:</w:t>
      </w:r>
    </w:p>
    <w:p w:rsidR="0082487E" w:rsidRDefault="0082487E" w:rsidP="0082487E">
      <w:pPr>
        <w:rPr>
          <w:rFonts w:ascii="Calibri" w:hAnsi="Calibri"/>
          <w:lang w:val="fr-FR"/>
        </w:rPr>
      </w:pPr>
      <w:r w:rsidRPr="00CB1D9F">
        <w:rPr>
          <w:rFonts w:ascii="Calibri" w:hAnsi="Calibri"/>
          <w:lang w:val="fr-FR"/>
        </w:rPr>
        <w:t>Un point me taraude en particulier: comment mon frère s’est-il retrouvé sur cette plage.</w:t>
      </w:r>
      <w:r>
        <w:rPr>
          <w:rFonts w:ascii="Calibri" w:hAnsi="Calibri"/>
          <w:lang w:val="fr-FR"/>
        </w:rPr>
        <w:t xml:space="preserve"> On ne le saura jamais. Ce détail est un incommensurable mystère et donne le vertige quand on se demande ensuite comment un homme peut perdre son prénom, puis sa vie, puis son propre cadavre en une seule journée. […] Cette histoire […] est celle de tous les gens de cette époque. On était Moussa pour les siens, dans son quartier, mais il suffisait de faire quelques mètres dans la ville des Français, il suffisait du seul regard de l’un d’entre eux pour tout perdre, à commencer par son prénom […] </w:t>
      </w:r>
      <w:r w:rsidRPr="00CB1D9F">
        <w:rPr>
          <w:rFonts w:ascii="Calibri" w:hAnsi="Calibri"/>
          <w:lang w:val="fr-FR"/>
        </w:rPr>
        <w:t xml:space="preserve"> </w:t>
      </w:r>
      <w:r>
        <w:rPr>
          <w:rFonts w:ascii="Calibri" w:hAnsi="Calibri"/>
          <w:lang w:val="fr-FR"/>
        </w:rPr>
        <w:t>(</w:t>
      </w:r>
      <w:r w:rsidRPr="00CB1D9F">
        <w:rPr>
          <w:rFonts w:ascii="Calibri" w:hAnsi="Calibri"/>
          <w:lang w:val="fr-FR"/>
        </w:rPr>
        <w:t>p. 71</w:t>
      </w:r>
      <w:r>
        <w:rPr>
          <w:rFonts w:ascii="Calibri" w:hAnsi="Calibri"/>
          <w:lang w:val="fr-FR"/>
        </w:rPr>
        <w:t>)</w:t>
      </w:r>
      <w:r w:rsidRPr="00CB1D9F">
        <w:rPr>
          <w:rFonts w:ascii="Calibri" w:hAnsi="Calibri"/>
          <w:lang w:val="fr-FR"/>
        </w:rPr>
        <w:t xml:space="preserve">. </w:t>
      </w:r>
      <w:r>
        <w:rPr>
          <w:rFonts w:ascii="Calibri" w:hAnsi="Calibri"/>
          <w:lang w:val="fr-FR"/>
        </w:rPr>
        <w:t xml:space="preserve"> </w:t>
      </w:r>
      <w:r w:rsidRPr="00AC47BB">
        <w:rPr>
          <w:rFonts w:ascii="Calibri" w:hAnsi="Calibri"/>
          <w:lang w:val="fr-FR"/>
        </w:rPr>
        <w:t xml:space="preserve"> </w:t>
      </w:r>
    </w:p>
    <w:p w:rsidR="0082487E" w:rsidRDefault="0082487E" w:rsidP="0082487E">
      <w:pPr>
        <w:rPr>
          <w:rFonts w:ascii="Calibri" w:hAnsi="Calibri"/>
          <w:i/>
          <w:lang w:val="fr-FR"/>
        </w:rPr>
      </w:pPr>
      <w:r w:rsidRPr="0082487E">
        <w:rPr>
          <w:rFonts w:ascii="Calibri" w:hAnsi="Calibri"/>
          <w:lang w:val="fr-FR"/>
        </w:rPr>
        <w:t xml:space="preserve">Narrative </w:t>
      </w:r>
      <w:proofErr w:type="spellStart"/>
      <w:r w:rsidRPr="0082487E">
        <w:rPr>
          <w:rFonts w:ascii="Calibri" w:hAnsi="Calibri"/>
          <w:lang w:val="fr-FR"/>
        </w:rPr>
        <w:t>voice</w:t>
      </w:r>
      <w:proofErr w:type="spellEnd"/>
      <w:r w:rsidRPr="0082487E">
        <w:rPr>
          <w:rFonts w:ascii="Calibri" w:hAnsi="Calibri"/>
          <w:lang w:val="fr-FR"/>
        </w:rPr>
        <w:t xml:space="preserve"> – </w:t>
      </w:r>
      <w:proofErr w:type="spellStart"/>
      <w:r w:rsidRPr="0082487E">
        <w:rPr>
          <w:rFonts w:ascii="Calibri" w:hAnsi="Calibri"/>
          <w:lang w:val="fr-FR"/>
        </w:rPr>
        <w:t>Haroun’s</w:t>
      </w:r>
      <w:proofErr w:type="spellEnd"/>
      <w:r w:rsidRPr="0082487E">
        <w:rPr>
          <w:rFonts w:ascii="Calibri" w:hAnsi="Calibri"/>
          <w:lang w:val="fr-FR"/>
        </w:rPr>
        <w:t xml:space="preserve"> dialogue to the </w:t>
      </w:r>
      <w:proofErr w:type="spellStart"/>
      <w:r w:rsidRPr="0082487E">
        <w:rPr>
          <w:rFonts w:ascii="Calibri" w:hAnsi="Calibri"/>
          <w:lang w:val="fr-FR"/>
        </w:rPr>
        <w:t>silent</w:t>
      </w:r>
      <w:proofErr w:type="spellEnd"/>
      <w:r w:rsidRPr="0082487E">
        <w:rPr>
          <w:rFonts w:ascii="Calibri" w:hAnsi="Calibri"/>
          <w:lang w:val="fr-FR"/>
        </w:rPr>
        <w:t xml:space="preserve"> (but </w:t>
      </w:r>
      <w:proofErr w:type="spellStart"/>
      <w:r w:rsidRPr="0082487E">
        <w:rPr>
          <w:rFonts w:ascii="Calibri" w:hAnsi="Calibri"/>
          <w:lang w:val="fr-FR"/>
        </w:rPr>
        <w:t>present</w:t>
      </w:r>
      <w:proofErr w:type="spellEnd"/>
      <w:r w:rsidRPr="0082487E">
        <w:rPr>
          <w:rFonts w:ascii="Calibri" w:hAnsi="Calibri"/>
          <w:lang w:val="fr-FR"/>
        </w:rPr>
        <w:t>) ‘monsieur l’enquêteur’//</w:t>
      </w:r>
      <w:r w:rsidRPr="0082487E">
        <w:rPr>
          <w:rFonts w:ascii="Calibri" w:hAnsi="Calibri"/>
          <w:i/>
          <w:lang w:val="fr-FR"/>
        </w:rPr>
        <w:t xml:space="preserve"> La Chute</w:t>
      </w:r>
    </w:p>
    <w:p w:rsidR="00D25127" w:rsidRDefault="00D25127" w:rsidP="00D25127">
      <w:pPr>
        <w:pStyle w:val="ListParagraph"/>
        <w:numPr>
          <w:ilvl w:val="0"/>
          <w:numId w:val="1"/>
        </w:numPr>
        <w:rPr>
          <w:rFonts w:ascii="Calibri" w:hAnsi="Calibri"/>
        </w:rPr>
      </w:pPr>
      <w:r w:rsidRPr="00D25127">
        <w:rPr>
          <w:rFonts w:ascii="Calibri" w:hAnsi="Calibri"/>
        </w:rPr>
        <w:t>set in a bar in Amsterdam</w:t>
      </w:r>
    </w:p>
    <w:p w:rsidR="00D25127" w:rsidRPr="00127197" w:rsidRDefault="00D25127" w:rsidP="00D25127">
      <w:pPr>
        <w:pStyle w:val="ListParagraph"/>
        <w:numPr>
          <w:ilvl w:val="0"/>
          <w:numId w:val="1"/>
        </w:numPr>
        <w:rPr>
          <w:rFonts w:ascii="Calibri" w:hAnsi="Calibri"/>
          <w:lang w:val="fr-BE"/>
        </w:rPr>
      </w:pPr>
      <w:r w:rsidRPr="00127197">
        <w:rPr>
          <w:rFonts w:ascii="Calibri" w:hAnsi="Calibri"/>
          <w:lang w:val="fr-BE"/>
        </w:rPr>
        <w:t>Jean-Baptiste</w:t>
      </w:r>
      <w:r w:rsidR="00127197" w:rsidRPr="00127197">
        <w:rPr>
          <w:rFonts w:ascii="Calibri" w:hAnsi="Calibri"/>
          <w:lang w:val="fr-BE"/>
        </w:rPr>
        <w:t xml:space="preserve"> </w:t>
      </w:r>
      <w:proofErr w:type="spellStart"/>
      <w:r w:rsidR="00127197" w:rsidRPr="00127197">
        <w:rPr>
          <w:rFonts w:ascii="Calibri" w:hAnsi="Calibri"/>
          <w:lang w:val="fr-BE"/>
        </w:rPr>
        <w:t>Clamence</w:t>
      </w:r>
      <w:proofErr w:type="spellEnd"/>
      <w:r w:rsidRPr="00127197">
        <w:rPr>
          <w:rFonts w:ascii="Calibri" w:hAnsi="Calibri"/>
          <w:lang w:val="fr-BE"/>
        </w:rPr>
        <w:t xml:space="preserve"> = ‘juge pénitent’</w:t>
      </w:r>
    </w:p>
    <w:p w:rsidR="00D25127" w:rsidRDefault="00D25127" w:rsidP="00D25127">
      <w:pPr>
        <w:pStyle w:val="ListParagraph"/>
        <w:numPr>
          <w:ilvl w:val="0"/>
          <w:numId w:val="1"/>
        </w:numPr>
        <w:rPr>
          <w:rFonts w:ascii="Calibri" w:hAnsi="Calibri"/>
        </w:rPr>
      </w:pPr>
      <w:r>
        <w:rPr>
          <w:rFonts w:ascii="Calibri" w:hAnsi="Calibri"/>
        </w:rPr>
        <w:t>Monologue = confession against backdrop of WW2 and the Holocaust</w:t>
      </w:r>
    </w:p>
    <w:p w:rsidR="00D25127" w:rsidRDefault="00ED56E4" w:rsidP="00D25127">
      <w:pPr>
        <w:pStyle w:val="ListParagraph"/>
        <w:numPr>
          <w:ilvl w:val="0"/>
          <w:numId w:val="1"/>
        </w:numPr>
        <w:rPr>
          <w:rFonts w:ascii="Calibri" w:hAnsi="Calibri"/>
        </w:rPr>
      </w:pPr>
      <w:r>
        <w:rPr>
          <w:rFonts w:ascii="Calibri" w:hAnsi="Calibri"/>
        </w:rPr>
        <w:t>guilt and innocence, truth, and incarceration</w:t>
      </w:r>
    </w:p>
    <w:p w:rsidR="00ED56E4" w:rsidRPr="00ED56E4" w:rsidRDefault="00ED56E4" w:rsidP="00ED56E4">
      <w:pPr>
        <w:rPr>
          <w:rFonts w:ascii="Calibri" w:hAnsi="Calibri"/>
        </w:rPr>
      </w:pPr>
      <w:r w:rsidRPr="00ED56E4">
        <w:rPr>
          <w:rFonts w:ascii="Calibri" w:hAnsi="Calibri"/>
          <w:lang w:val="fr-FR"/>
        </w:rPr>
        <w:t xml:space="preserve">Haroun: </w:t>
      </w:r>
      <w:proofErr w:type="spellStart"/>
      <w:r w:rsidRPr="00ED56E4">
        <w:rPr>
          <w:rFonts w:ascii="Calibri" w:hAnsi="Calibri"/>
          <w:lang w:val="fr-FR"/>
        </w:rPr>
        <w:t>judgments</w:t>
      </w:r>
      <w:proofErr w:type="spellEnd"/>
      <w:r w:rsidRPr="00ED56E4">
        <w:rPr>
          <w:rFonts w:ascii="Calibri" w:hAnsi="Calibri"/>
          <w:lang w:val="fr-FR"/>
        </w:rPr>
        <w:t xml:space="preserve"> </w:t>
      </w:r>
      <w:r w:rsidRPr="002F166B">
        <w:rPr>
          <w:rFonts w:ascii="Calibri" w:hAnsi="Calibri"/>
          <w:lang w:val="fr-FR"/>
        </w:rPr>
        <w:t xml:space="preserve">on </w:t>
      </w:r>
      <w:proofErr w:type="spellStart"/>
      <w:r w:rsidRPr="002F166B">
        <w:rPr>
          <w:rFonts w:ascii="Calibri" w:hAnsi="Calibri"/>
          <w:lang w:val="fr-FR"/>
        </w:rPr>
        <w:t>colonialism</w:t>
      </w:r>
      <w:proofErr w:type="spellEnd"/>
      <w:r w:rsidRPr="002F166B">
        <w:rPr>
          <w:rFonts w:ascii="Calibri" w:hAnsi="Calibri"/>
          <w:lang w:val="fr-FR"/>
        </w:rPr>
        <w:t xml:space="preserve">, Camus, </w:t>
      </w:r>
      <w:proofErr w:type="spellStart"/>
      <w:r w:rsidRPr="002F166B">
        <w:rPr>
          <w:rFonts w:ascii="Calibri" w:hAnsi="Calibri"/>
          <w:lang w:val="fr-FR"/>
        </w:rPr>
        <w:t>his</w:t>
      </w:r>
      <w:proofErr w:type="spellEnd"/>
      <w:r w:rsidRPr="002F166B">
        <w:rPr>
          <w:rFonts w:ascii="Calibri" w:hAnsi="Calibri"/>
          <w:lang w:val="fr-FR"/>
        </w:rPr>
        <w:t xml:space="preserve"> book, but </w:t>
      </w:r>
      <w:proofErr w:type="spellStart"/>
      <w:r w:rsidRPr="002F166B">
        <w:rPr>
          <w:rFonts w:ascii="Calibri" w:hAnsi="Calibri"/>
          <w:lang w:val="fr-FR"/>
        </w:rPr>
        <w:t>also</w:t>
      </w:r>
      <w:proofErr w:type="spellEnd"/>
      <w:r w:rsidRPr="002F166B">
        <w:rPr>
          <w:rFonts w:ascii="Calibri" w:hAnsi="Calibri"/>
          <w:lang w:val="fr-FR"/>
        </w:rPr>
        <w:t xml:space="preserve"> </w:t>
      </w:r>
      <w:proofErr w:type="spellStart"/>
      <w:r w:rsidRPr="002F166B">
        <w:rPr>
          <w:rFonts w:ascii="Calibri" w:hAnsi="Calibri"/>
          <w:lang w:val="fr-FR"/>
        </w:rPr>
        <w:t>contemporary</w:t>
      </w:r>
      <w:proofErr w:type="spellEnd"/>
      <w:r w:rsidRPr="002F166B">
        <w:rPr>
          <w:rFonts w:ascii="Calibri" w:hAnsi="Calibri"/>
          <w:lang w:val="fr-FR"/>
        </w:rPr>
        <w:t xml:space="preserve"> </w:t>
      </w:r>
      <w:proofErr w:type="spellStart"/>
      <w:r w:rsidRPr="002F166B">
        <w:rPr>
          <w:rFonts w:ascii="Calibri" w:hAnsi="Calibri"/>
          <w:lang w:val="fr-FR"/>
        </w:rPr>
        <w:t>Algeria</w:t>
      </w:r>
      <w:proofErr w:type="spellEnd"/>
      <w:r w:rsidRPr="002F166B">
        <w:rPr>
          <w:rFonts w:ascii="Calibri" w:hAnsi="Calibri"/>
          <w:lang w:val="fr-FR"/>
        </w:rPr>
        <w:t xml:space="preserve"> </w:t>
      </w:r>
      <w:proofErr w:type="spellStart"/>
      <w:r w:rsidRPr="002F166B">
        <w:rPr>
          <w:rFonts w:ascii="Calibri" w:hAnsi="Calibri"/>
          <w:lang w:val="fr-FR"/>
        </w:rPr>
        <w:t>which</w:t>
      </w:r>
      <w:proofErr w:type="spellEnd"/>
      <w:r w:rsidRPr="002F166B">
        <w:rPr>
          <w:rFonts w:ascii="Calibri" w:hAnsi="Calibri"/>
          <w:lang w:val="fr-FR"/>
        </w:rPr>
        <w:t xml:space="preserve"> </w:t>
      </w:r>
      <w:proofErr w:type="spellStart"/>
      <w:r w:rsidRPr="002F166B">
        <w:rPr>
          <w:rFonts w:ascii="Calibri" w:hAnsi="Calibri"/>
          <w:lang w:val="fr-FR"/>
        </w:rPr>
        <w:t>is</w:t>
      </w:r>
      <w:proofErr w:type="spellEnd"/>
      <w:r w:rsidRPr="002F166B">
        <w:rPr>
          <w:rFonts w:ascii="Calibri" w:hAnsi="Calibri"/>
          <w:lang w:val="fr-FR"/>
        </w:rPr>
        <w:t xml:space="preserve"> </w:t>
      </w:r>
      <w:proofErr w:type="spellStart"/>
      <w:r w:rsidRPr="002F166B">
        <w:rPr>
          <w:rFonts w:ascii="Calibri" w:hAnsi="Calibri"/>
          <w:lang w:val="fr-FR"/>
        </w:rPr>
        <w:t>inhabited</w:t>
      </w:r>
      <w:proofErr w:type="spellEnd"/>
      <w:r w:rsidRPr="002F166B">
        <w:rPr>
          <w:rFonts w:ascii="Calibri" w:hAnsi="Calibri"/>
          <w:lang w:val="fr-FR"/>
        </w:rPr>
        <w:t xml:space="preserve"> by ‘[d]es millions de Meursault, entassés les uns sur les autres, enfermés entre une plage sale et </w:t>
      </w:r>
      <w:r>
        <w:rPr>
          <w:rFonts w:ascii="Calibri" w:hAnsi="Calibri"/>
          <w:lang w:val="fr-FR"/>
        </w:rPr>
        <w:t xml:space="preserve">une montagne, hébétés par le meurtre et le sommeil […]’ </w:t>
      </w:r>
      <w:r w:rsidRPr="00327527">
        <w:rPr>
          <w:rFonts w:ascii="Calibri" w:hAnsi="Calibri"/>
        </w:rPr>
        <w:t xml:space="preserve">(p. </w:t>
      </w:r>
      <w:r>
        <w:rPr>
          <w:rFonts w:ascii="Calibri" w:hAnsi="Calibri"/>
        </w:rPr>
        <w:t xml:space="preserve">149) </w:t>
      </w:r>
      <w:r>
        <w:rPr>
          <w:rFonts w:ascii="Calibri" w:hAnsi="Calibri"/>
          <w:i/>
        </w:rPr>
        <w:t xml:space="preserve">but </w:t>
      </w:r>
      <w:r>
        <w:rPr>
          <w:rFonts w:ascii="Calibri" w:hAnsi="Calibri"/>
        </w:rPr>
        <w:t xml:space="preserve">penitent and remorseful </w:t>
      </w:r>
    </w:p>
    <w:p w:rsidR="0082487E" w:rsidRPr="00D25127" w:rsidRDefault="0082487E" w:rsidP="00530C88">
      <w:pPr>
        <w:rPr>
          <w:rFonts w:ascii="Calibri" w:hAnsi="Calibri"/>
          <w:i/>
        </w:rPr>
      </w:pPr>
    </w:p>
    <w:p w:rsidR="00530C88" w:rsidRPr="00D25127" w:rsidRDefault="00530C88" w:rsidP="00553736">
      <w:pPr>
        <w:rPr>
          <w:rFonts w:cs="Arial"/>
        </w:rPr>
      </w:pPr>
    </w:p>
    <w:p w:rsidR="00553736" w:rsidRPr="00D25127" w:rsidRDefault="00553736" w:rsidP="00553736">
      <w:pPr>
        <w:rPr>
          <w:rFonts w:cs="Arial"/>
        </w:rPr>
      </w:pPr>
    </w:p>
    <w:p w:rsidR="00570015" w:rsidRPr="00D25127" w:rsidRDefault="00570015">
      <w:bookmarkStart w:id="0" w:name="_GoBack"/>
      <w:bookmarkEnd w:id="0"/>
    </w:p>
    <w:sectPr w:rsidR="00570015" w:rsidRPr="00D25127" w:rsidSect="0057001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AB03A93"/>
    <w:multiLevelType w:val="hybridMultilevel"/>
    <w:tmpl w:val="97DC7A4C"/>
    <w:lvl w:ilvl="0" w:tplc="3098AB14">
      <w:numFmt w:val="bullet"/>
      <w:lvlText w:val=""/>
      <w:lvlJc w:val="left"/>
      <w:pPr>
        <w:ind w:left="720" w:hanging="360"/>
      </w:pPr>
      <w:rPr>
        <w:rFonts w:ascii="Wingdings" w:eastAsiaTheme="minorHAnsi" w:hAnsi="Wingdings"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2"/>
  </w:compat>
  <w:rsids>
    <w:rsidRoot w:val="00605546"/>
    <w:rsid w:val="00127197"/>
    <w:rsid w:val="002A1E45"/>
    <w:rsid w:val="00381231"/>
    <w:rsid w:val="0041753C"/>
    <w:rsid w:val="004B7629"/>
    <w:rsid w:val="00530C88"/>
    <w:rsid w:val="00532C9A"/>
    <w:rsid w:val="00553736"/>
    <w:rsid w:val="00570015"/>
    <w:rsid w:val="00605546"/>
    <w:rsid w:val="0067746B"/>
    <w:rsid w:val="0082487E"/>
    <w:rsid w:val="00936C4E"/>
    <w:rsid w:val="00940ABB"/>
    <w:rsid w:val="009D3749"/>
    <w:rsid w:val="00A0415A"/>
    <w:rsid w:val="00CE0FF5"/>
    <w:rsid w:val="00D25127"/>
    <w:rsid w:val="00EA1BFF"/>
    <w:rsid w:val="00ED56E4"/>
    <w:rsid w:val="00EF027B"/>
    <w:rsid w:val="00FC57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FDCF14-DD47-4B2A-AFCC-D55E5697CA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55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5127"/>
    <w:pPr>
      <w:ind w:left="720"/>
      <w:contextualSpacing/>
    </w:pPr>
  </w:style>
  <w:style w:type="paragraph" w:styleId="BalloonText">
    <w:name w:val="Balloon Text"/>
    <w:basedOn w:val="Normal"/>
    <w:link w:val="BalloonTextChar"/>
    <w:uiPriority w:val="99"/>
    <w:semiHidden/>
    <w:unhideWhenUsed/>
    <w:rsid w:val="00A0415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415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6C8F533E</Template>
  <TotalTime>141</TotalTime>
  <Pages>2</Pages>
  <Words>689</Words>
  <Characters>3930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Pierre-Philippe</dc:creator>
  <cp:lastModifiedBy>Fraiture, Pierre-Philippe</cp:lastModifiedBy>
  <cp:revision>4</cp:revision>
  <cp:lastPrinted>2016-11-29T10:13:00Z</cp:lastPrinted>
  <dcterms:created xsi:type="dcterms:W3CDTF">2016-11-26T17:08:00Z</dcterms:created>
  <dcterms:modified xsi:type="dcterms:W3CDTF">2016-11-29T10:18:00Z</dcterms:modified>
</cp:coreProperties>
</file>