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2E09" w:rsidRPr="00B40530" w:rsidRDefault="00712E09" w:rsidP="00712E09">
      <w:pPr>
        <w:rPr>
          <w:b/>
        </w:rPr>
      </w:pPr>
      <w:r>
        <w:rPr>
          <w:b/>
        </w:rPr>
        <w:t>FR329 Lecture week 8</w:t>
      </w:r>
    </w:p>
    <w:p w:rsidR="004B1F8A" w:rsidRDefault="00712E09">
      <w:r>
        <w:t xml:space="preserve">Chamoiseau: direct literary engagement with creole language Vs. Maryse Condé and creolness: cultural phenomenon and socio-cultural model. But </w:t>
      </w:r>
      <w:r>
        <w:rPr>
          <w:i/>
        </w:rPr>
        <w:t xml:space="preserve">Créolité </w:t>
      </w:r>
      <w:r>
        <w:t>= masculinist and normative:</w:t>
      </w:r>
    </w:p>
    <w:p w:rsidR="00712E09" w:rsidRDefault="00712E09" w:rsidP="00712E09">
      <w:pPr>
        <w:rPr>
          <w:rFonts w:ascii="Calibri" w:hAnsi="Calibri" w:cs="Arial"/>
        </w:rPr>
      </w:pPr>
      <w:r>
        <w:t xml:space="preserve">The Martinican school of Créolité is singular because it presumes to impose law and order. Créolité is alone in reducing the overall expression of creolness to the use of the Creole language. </w:t>
      </w:r>
      <w:r>
        <w:rPr>
          <w:i/>
        </w:rPr>
        <w:t>Eloge de la créolité</w:t>
      </w:r>
      <w:r>
        <w:t xml:space="preserve"> dictates that literature must be founded on the acquisition of the creole la</w:t>
      </w:r>
      <w:r w:rsidR="003611F5">
        <w:t>nguage ‘</w:t>
      </w:r>
      <w:r>
        <w:t>in its grammar, its basilectal lexicon, its orthography, its intonation, i</w:t>
      </w:r>
      <w:r w:rsidR="003611F5">
        <w:t>ts rhythm, is soul… its poetics’. This implies a notion of ‘authenticity,’</w:t>
      </w:r>
      <w:r>
        <w:t xml:space="preserve"> which inev</w:t>
      </w:r>
      <w:r w:rsidR="003611F5">
        <w:t>itably engenders exclusion, as ‘authenticity’</w:t>
      </w:r>
      <w:r>
        <w:t xml:space="preserve"> is based on the very normative ideology that for so long consigned us to the world’s periphery. Worse yet, the Créolité school is terrorizing in its detailed catalogue of acceptable literary themes. Were the stakes less high, we might smile at the attempt to dictate to the imagination of the writers the quasi-folkloric subjects worthy of inspiration: </w:t>
      </w:r>
      <w:r>
        <w:rPr>
          <w:i/>
        </w:rPr>
        <w:t>djobeur, dorlis, zombis, chouval-twapat, soukliyan, majo, ladja, koudmen</w:t>
      </w:r>
      <w:r>
        <w:t>, as if creativity were an inventory summoned at will. Maryse Condé, ‘</w:t>
      </w:r>
      <w:r>
        <w:rPr>
          <w:rFonts w:ascii="Calibri" w:hAnsi="Calibri" w:cs="Arial"/>
        </w:rPr>
        <w:t xml:space="preserve">Créolité without the Creole Language’, in </w:t>
      </w:r>
      <w:r>
        <w:rPr>
          <w:rFonts w:ascii="Calibri" w:hAnsi="Calibri" w:cs="Arial"/>
          <w:i/>
        </w:rPr>
        <w:t>Caribbean Creolization: Reflections on the Cultural Dynamics of Language, Literature, and Identity</w:t>
      </w:r>
      <w:r>
        <w:rPr>
          <w:rFonts w:ascii="Calibri" w:hAnsi="Calibri" w:cs="Arial"/>
        </w:rPr>
        <w:t xml:space="preserve">, ed. By Kathleen M. Balutansky and Marie-Agnès Sourieau (UP of Florida, 1998), pp. 101-109 (106-107). </w:t>
      </w:r>
    </w:p>
    <w:p w:rsidR="00712E09" w:rsidRDefault="00712E09">
      <w:pPr>
        <w:rPr>
          <w:rFonts w:ascii="Calibri" w:hAnsi="Calibri" w:cs="Arial"/>
        </w:rPr>
      </w:pPr>
      <w:r w:rsidRPr="00712E09">
        <w:t xml:space="preserve">See </w:t>
      </w:r>
      <w:r w:rsidRPr="00712E09">
        <w:rPr>
          <w:rFonts w:ascii="Calibri" w:hAnsi="Calibri" w:cs="Arial"/>
          <w:i/>
        </w:rPr>
        <w:t>Traversée de la mangrove</w:t>
      </w:r>
      <w:r w:rsidRPr="00712E09">
        <w:rPr>
          <w:rFonts w:ascii="Calibri" w:hAnsi="Calibri" w:cs="Arial"/>
        </w:rPr>
        <w:t xml:space="preserve"> (1986) - Guadeloupean community : </w:t>
      </w:r>
      <w:r>
        <w:rPr>
          <w:rFonts w:ascii="Calibri" w:hAnsi="Calibri" w:cs="Arial"/>
        </w:rPr>
        <w:t>Békés, descendants of slaves, white metropolitans, Haitians, Mulattoes, and Koulis; polyphonic narration ; diverse but segregated community Vs. Sancher/Sanchez = enigma – vehicle to</w:t>
      </w:r>
      <w:r w:rsidR="003C691D">
        <w:rPr>
          <w:rFonts w:ascii="Calibri" w:hAnsi="Calibri" w:cs="Arial"/>
        </w:rPr>
        <w:t xml:space="preserve"> reassess ethnic prejudices, creolness, and envision a different future; Sancher/Sanchez: </w:t>
      </w:r>
      <w:r w:rsidR="003C691D">
        <w:rPr>
          <w:rFonts w:ascii="Calibri" w:hAnsi="Calibri" w:cs="Arial"/>
          <w:i/>
        </w:rPr>
        <w:t>Traversée de la mangrove</w:t>
      </w:r>
      <w:r w:rsidR="003C691D">
        <w:rPr>
          <w:rFonts w:ascii="Calibri" w:hAnsi="Calibri" w:cs="Arial"/>
        </w:rPr>
        <w:t xml:space="preserve"> (=rhizome): </w:t>
      </w:r>
    </w:p>
    <w:p w:rsidR="003C691D" w:rsidRDefault="003C691D" w:rsidP="003C691D">
      <w:pPr>
        <w:rPr>
          <w:rFonts w:ascii="Calibri" w:hAnsi="Calibri" w:cs="Arial"/>
        </w:rPr>
      </w:pPr>
      <w:r w:rsidRPr="00997B50">
        <w:rPr>
          <w:rFonts w:ascii="Calibri" w:hAnsi="Calibri" w:cs="Arial"/>
        </w:rPr>
        <w:t>The mangrove forest is a mesh of both land and water, and in that sense it is fluid, borderless, open to influence and change?</w:t>
      </w:r>
      <w:r>
        <w:rPr>
          <w:rFonts w:ascii="Calibri" w:hAnsi="Calibri" w:cs="Arial"/>
        </w:rPr>
        <w:t xml:space="preserve"> </w:t>
      </w:r>
      <w:r w:rsidRPr="00997B50">
        <w:rPr>
          <w:rFonts w:ascii="Calibri" w:hAnsi="Calibri" w:cs="Arial"/>
        </w:rPr>
        <w:t>and might it not be called a metissage! Yet because of its rhizomatic lateral growth patterns, which prominently feature prop roots and pneumatophores, it can also contain, entangle, strangle, bind, thus acting much like a</w:t>
      </w:r>
      <w:r>
        <w:rPr>
          <w:rFonts w:ascii="Calibri" w:hAnsi="Calibri" w:cs="Arial"/>
        </w:rPr>
        <w:t xml:space="preserve"> border. </w:t>
      </w:r>
      <w:r w:rsidRPr="00D37DFD">
        <w:rPr>
          <w:rFonts w:ascii="Calibri" w:hAnsi="Calibri" w:cs="Arial"/>
        </w:rPr>
        <w:t>Ruthmarie H. Mi</w:t>
      </w:r>
      <w:r>
        <w:rPr>
          <w:rFonts w:ascii="Calibri" w:hAnsi="Calibri" w:cs="Arial"/>
        </w:rPr>
        <w:t>tsch, ‘</w:t>
      </w:r>
      <w:r w:rsidRPr="00D37DFD">
        <w:rPr>
          <w:rFonts w:ascii="Calibri" w:hAnsi="Calibri" w:cs="Arial"/>
        </w:rPr>
        <w:t>Maryse Condé's Mangroves</w:t>
      </w:r>
      <w:r>
        <w:rPr>
          <w:rFonts w:ascii="Calibri" w:hAnsi="Calibri" w:cs="Arial"/>
        </w:rPr>
        <w:t xml:space="preserve">’, </w:t>
      </w:r>
      <w:r w:rsidRPr="00D37DFD">
        <w:rPr>
          <w:rFonts w:ascii="Calibri" w:hAnsi="Calibri" w:cs="Arial"/>
          <w:i/>
        </w:rPr>
        <w:t>Research in African Literatures</w:t>
      </w:r>
      <w:r w:rsidRPr="00D37DFD">
        <w:rPr>
          <w:rFonts w:ascii="Calibri" w:hAnsi="Calibri" w:cs="Arial"/>
        </w:rPr>
        <w:t>, Vol. 28, No. 4, Multiculturalism (Winter, 1997), pp. 54-70</w:t>
      </w:r>
      <w:r>
        <w:rPr>
          <w:rFonts w:ascii="Calibri" w:hAnsi="Calibri" w:cs="Arial"/>
        </w:rPr>
        <w:t xml:space="preserve"> (55).</w:t>
      </w:r>
    </w:p>
    <w:p w:rsidR="003C691D" w:rsidRDefault="003C691D" w:rsidP="003C691D">
      <w:pPr>
        <w:rPr>
          <w:lang w:val="fr-FR"/>
        </w:rPr>
      </w:pPr>
      <w:r w:rsidRPr="003C691D">
        <w:rPr>
          <w:i/>
          <w:lang w:val="fr-FR"/>
        </w:rPr>
        <w:t>Victoire</w:t>
      </w:r>
      <w:r w:rsidRPr="003C691D">
        <w:rPr>
          <w:lang w:val="fr-FR"/>
        </w:rPr>
        <w:t>,</w:t>
      </w:r>
      <w:r w:rsidRPr="003C691D">
        <w:rPr>
          <w:i/>
          <w:lang w:val="fr-FR"/>
        </w:rPr>
        <w:t xml:space="preserve"> les saveurs et le mots</w:t>
      </w:r>
      <w:r>
        <w:rPr>
          <w:lang w:val="fr-FR"/>
        </w:rPr>
        <w:t xml:space="preserve"> – ambiguity of the title : Victoire : victorious ? Saveur/savoir ? Mots/maux ?</w:t>
      </w:r>
    </w:p>
    <w:p w:rsidR="003C691D" w:rsidRPr="003C691D" w:rsidRDefault="003C691D" w:rsidP="003C691D">
      <w:pPr>
        <w:pStyle w:val="ListParagraph"/>
        <w:numPr>
          <w:ilvl w:val="0"/>
          <w:numId w:val="1"/>
        </w:numPr>
        <w:rPr>
          <w:rFonts w:ascii="Calibri" w:hAnsi="Calibri" w:cs="Arial"/>
        </w:rPr>
      </w:pPr>
      <w:r>
        <w:t>History of Caribbean assimilation and the emergence of a Black middle-class</w:t>
      </w:r>
    </w:p>
    <w:p w:rsidR="003C691D" w:rsidRPr="003C691D" w:rsidRDefault="003C691D" w:rsidP="003C691D">
      <w:pPr>
        <w:pStyle w:val="ListParagraph"/>
        <w:numPr>
          <w:ilvl w:val="0"/>
          <w:numId w:val="1"/>
        </w:numPr>
        <w:rPr>
          <w:rFonts w:ascii="Calibri" w:hAnsi="Calibri" w:cs="Arial"/>
        </w:rPr>
      </w:pPr>
      <w:r>
        <w:t>Victoire = white: class vs. race? Third Republic: ‘négraille’ (see Césaire) vs. ‘Grands Noirs’</w:t>
      </w:r>
    </w:p>
    <w:p w:rsidR="003C691D" w:rsidRPr="003C691D" w:rsidRDefault="003C691D" w:rsidP="003C691D">
      <w:pPr>
        <w:pStyle w:val="ListParagraph"/>
        <w:numPr>
          <w:ilvl w:val="0"/>
          <w:numId w:val="1"/>
        </w:numPr>
        <w:rPr>
          <w:rFonts w:ascii="Calibri" w:hAnsi="Calibri" w:cs="Arial"/>
        </w:rPr>
      </w:pPr>
      <w:r>
        <w:t>autobiographical dimension</w:t>
      </w:r>
    </w:p>
    <w:p w:rsidR="003C691D" w:rsidRPr="003A5543" w:rsidRDefault="003C691D" w:rsidP="003C691D">
      <w:pPr>
        <w:pStyle w:val="ListParagraph"/>
        <w:numPr>
          <w:ilvl w:val="0"/>
          <w:numId w:val="1"/>
        </w:numPr>
        <w:rPr>
          <w:rFonts w:ascii="Calibri" w:hAnsi="Calibri" w:cs="Arial"/>
        </w:rPr>
      </w:pPr>
      <w:r>
        <w:t>no teleology of progress</w:t>
      </w:r>
    </w:p>
    <w:p w:rsidR="003A5543" w:rsidRDefault="003A5543" w:rsidP="003C691D">
      <w:pPr>
        <w:pStyle w:val="ListParagraph"/>
        <w:numPr>
          <w:ilvl w:val="0"/>
          <w:numId w:val="1"/>
        </w:numPr>
        <w:rPr>
          <w:rFonts w:ascii="Calibri" w:hAnsi="Calibri" w:cs="Arial"/>
        </w:rPr>
      </w:pPr>
      <w:r>
        <w:rPr>
          <w:rFonts w:ascii="Calibri" w:hAnsi="Calibri" w:cs="Arial"/>
        </w:rPr>
        <w:t>low vs. high culture</w:t>
      </w:r>
    </w:p>
    <w:p w:rsidR="003A5543" w:rsidRDefault="003A5543" w:rsidP="003C691D">
      <w:pPr>
        <w:pStyle w:val="ListParagraph"/>
        <w:numPr>
          <w:ilvl w:val="0"/>
          <w:numId w:val="1"/>
        </w:numPr>
        <w:rPr>
          <w:rFonts w:ascii="Calibri" w:hAnsi="Calibri" w:cs="Arial"/>
        </w:rPr>
      </w:pPr>
      <w:r>
        <w:rPr>
          <w:rFonts w:ascii="Calibri" w:hAnsi="Calibri" w:cs="Arial"/>
        </w:rPr>
        <w:t>Victoire = artist // Condé</w:t>
      </w:r>
    </w:p>
    <w:p w:rsidR="003A5543" w:rsidRPr="003A5543" w:rsidRDefault="003A5543" w:rsidP="003C691D">
      <w:pPr>
        <w:pStyle w:val="ListParagraph"/>
        <w:numPr>
          <w:ilvl w:val="0"/>
          <w:numId w:val="1"/>
        </w:numPr>
        <w:rPr>
          <w:rFonts w:ascii="Calibri" w:hAnsi="Calibri" w:cs="Arial"/>
          <w:lang w:val="fr-FR"/>
        </w:rPr>
      </w:pPr>
      <w:r w:rsidRPr="003A5543">
        <w:rPr>
          <w:rFonts w:ascii="Calibri" w:hAnsi="Calibri" w:cs="Arial"/>
          <w:lang w:val="fr-FR"/>
        </w:rPr>
        <w:t>Vicoire’s ‘misery’ vs. parents’ ‘progress’:</w:t>
      </w:r>
    </w:p>
    <w:p w:rsidR="003A5543" w:rsidRDefault="003A5543" w:rsidP="003A5543">
      <w:pPr>
        <w:ind w:left="360"/>
        <w:rPr>
          <w:lang w:val="fr-FR"/>
        </w:rPr>
      </w:pPr>
      <w:r w:rsidRPr="003A5543">
        <w:rPr>
          <w:lang w:val="fr-FR"/>
        </w:rPr>
        <w:t xml:space="preserve">[…] l’entrée de Jeanne et Auguste dans le cercle des Grands Nègres. Ils devinrent un des couples les plus en vue de La Pointe. […]. J’avoue que je ne comprends guère les raisons de cette prééminence. Car je ne les vois exceller dans aucun domaine particulier, manifester aucun don spécifique. Les Grands Nègres fondèrent une association culturelle, ‘Alizés’, qui publiait une feuille de chou assez prétentieuse, </w:t>
      </w:r>
      <w:r w:rsidRPr="003A5543">
        <w:rPr>
          <w:i/>
          <w:lang w:val="fr-FR"/>
        </w:rPr>
        <w:t>Trait d’union</w:t>
      </w:r>
      <w:r w:rsidRPr="003A5543">
        <w:rPr>
          <w:lang w:val="fr-FR"/>
        </w:rPr>
        <w:t>. Je n’y vois nulle part la signature de mon père. Celle de ma mère figure sous deux articles sans grand intérêt, assez platement rédigés. L’un défend la nécessité d’une éducation démocratique et la</w:t>
      </w:r>
      <w:r w:rsidRPr="003A5543">
        <w:rPr>
          <w:rFonts w:cstheme="minorHAnsi"/>
          <w:lang w:val="fr-FR"/>
        </w:rPr>
        <w:t>ï</w:t>
      </w:r>
      <w:r w:rsidRPr="003A5543">
        <w:rPr>
          <w:lang w:val="fr-FR"/>
        </w:rPr>
        <w:t>que, son dada ; l’autre est l’</w:t>
      </w:r>
      <w:r w:rsidRPr="003A5543">
        <w:rPr>
          <w:i/>
          <w:lang w:val="fr-FR"/>
        </w:rPr>
        <w:t xml:space="preserve">obituary </w:t>
      </w:r>
      <w:r w:rsidRPr="003A5543">
        <w:rPr>
          <w:lang w:val="fr-FR"/>
        </w:rPr>
        <w:t>d’une de ses collègues […]. A part cela, ils n’exprimèrent jamais aucune opinion politique, ne prirent part à aucun grand combat, pp. 259-260.</w:t>
      </w:r>
    </w:p>
    <w:p w:rsidR="003A5543" w:rsidRDefault="003A5543" w:rsidP="003A5543">
      <w:pPr>
        <w:ind w:left="360"/>
      </w:pPr>
      <w:r>
        <w:lastRenderedPageBreak/>
        <w:t xml:space="preserve">Emancipation, assimilation and conformism vs. Victoire’s Creole </w:t>
      </w:r>
      <w:r w:rsidR="003C7D22">
        <w:t xml:space="preserve">sensuality and </w:t>
      </w:r>
      <w:r w:rsidRPr="003A5543">
        <w:rPr>
          <w:b/>
        </w:rPr>
        <w:t>inventiveness</w:t>
      </w:r>
      <w:r>
        <w:t xml:space="preserve"> </w:t>
      </w:r>
    </w:p>
    <w:p w:rsidR="003C7D22" w:rsidRDefault="003C7D22" w:rsidP="003A5543">
      <w:pPr>
        <w:ind w:left="360"/>
      </w:pPr>
      <w:r>
        <w:t>Condé’s novel: realist but fictional – see epigraph – see Dernier</w:t>
      </w:r>
      <w:r w:rsidRPr="00E13815">
        <w:t xml:space="preserve"> </w:t>
      </w:r>
      <w:r>
        <w:t>Argilius (</w:t>
      </w:r>
      <w:r>
        <w:rPr>
          <w:i/>
        </w:rPr>
        <w:t xml:space="preserve">not </w:t>
      </w:r>
      <w:r>
        <w:t>mentioned by Jean-Pierre Sainton; close to Hégésippe Jean Légétimus?). Why invention?</w:t>
      </w:r>
    </w:p>
    <w:p w:rsidR="003C7D22" w:rsidRDefault="003C7D22" w:rsidP="003C7D22">
      <w:r>
        <w:t xml:space="preserve">Both </w:t>
      </w:r>
      <w:r>
        <w:rPr>
          <w:i/>
        </w:rPr>
        <w:t xml:space="preserve">Victoire, les saveurs et les mots </w:t>
      </w:r>
      <w:r>
        <w:t xml:space="preserve">and </w:t>
      </w:r>
      <w:r>
        <w:rPr>
          <w:i/>
        </w:rPr>
        <w:t xml:space="preserve">Elmire des sept bonheurs </w:t>
      </w:r>
      <w:r>
        <w:t xml:space="preserve">[by Chamoiseau] return to a neglected period in Antillean history, the ‘siècle oublié’ or forgotten century between the abolition of slavery in 1848 and the advent of departmentalization in 1946, emphasizing present memory’s gaps and silences with respect to this past moment. Condé’s text confronts a wilful family silence about her grandmother’s life and origins […]. N. Simek, </w:t>
      </w:r>
      <w:r>
        <w:rPr>
          <w:i/>
        </w:rPr>
        <w:t>Hunger and Irony in the French Caribbean: Literature, Theory, and Public Life</w:t>
      </w:r>
      <w:r>
        <w:t xml:space="preserve"> (2016), p. 150.</w:t>
      </w:r>
    </w:p>
    <w:p w:rsidR="003C7D22" w:rsidRDefault="003C7D22" w:rsidP="003C7D22">
      <w:r>
        <w:t xml:space="preserve">Condé’s ‘guerrilla history’: </w:t>
      </w:r>
    </w:p>
    <w:p w:rsidR="003C7D22" w:rsidRDefault="003C7D22" w:rsidP="003C7D22">
      <w:r>
        <w:t xml:space="preserve">In proposing a menu of near certainties, plausible accounts, and clear and ambiguous inventions, Condé offers a story of what might have been, of what probably was, but also of what might have been otherwise. Attempting to confirm the ‘truth’ or ‘fiction’ of her references […] produces an ironic doubling, a juxtaposition of textual representation against (real or imagined) extra-textual confirmation that leads not to a single truth about what happened, but to a new critical question about the interpretation of existing sources and their gaps: how does it matter that this is what happened, and how might it have happened differently? N. Simek, </w:t>
      </w:r>
      <w:r>
        <w:rPr>
          <w:i/>
        </w:rPr>
        <w:t>Hunger and Irony in the French Caribbean: Literature</w:t>
      </w:r>
      <w:r>
        <w:t>, pp. 162-163.</w:t>
      </w:r>
    </w:p>
    <w:p w:rsidR="003C7D22" w:rsidRDefault="003C7D22" w:rsidP="003C7D22">
      <w:r>
        <w:t>Condé and the limit</w:t>
      </w:r>
      <w:r w:rsidR="003611F5">
        <w:t>s</w:t>
      </w:r>
      <w:bookmarkStart w:id="0" w:name="_GoBack"/>
      <w:bookmarkEnd w:id="0"/>
      <w:r>
        <w:t xml:space="preserve"> of scholarship and historical research? See colonial scholars: tendency to fabricate facts, falsify reality, and manipulate the truth //</w:t>
      </w:r>
      <w:r w:rsidRPr="003C7D22">
        <w:t xml:space="preserve"> </w:t>
      </w:r>
      <w:r>
        <w:t xml:space="preserve">past and present epistemological violence – see VY Mudimbe’s </w:t>
      </w:r>
      <w:r>
        <w:rPr>
          <w:i/>
        </w:rPr>
        <w:t>The Invention of Africa</w:t>
      </w:r>
      <w:r>
        <w:t xml:space="preserve"> (1988) </w:t>
      </w:r>
      <w:r>
        <w:sym w:font="Wingdings" w:char="F0E0"/>
      </w:r>
      <w:r>
        <w:t xml:space="preserve"> Caribbean also invented by the Western gaze</w:t>
      </w:r>
      <w:r w:rsidR="00BB52E1">
        <w:t>;</w:t>
      </w:r>
    </w:p>
    <w:p w:rsidR="00BB52E1" w:rsidRPr="003C7D22" w:rsidRDefault="00BB52E1" w:rsidP="003C7D22">
      <w:r>
        <w:t xml:space="preserve">However no ambition to recreate an ‘authentic’ past (Vs Damas) = inventiveness is cathartic/therapeutic </w:t>
      </w:r>
    </w:p>
    <w:p w:rsidR="003C7D22" w:rsidRPr="003C7D22" w:rsidRDefault="003C7D22" w:rsidP="003A5543">
      <w:pPr>
        <w:ind w:left="360"/>
      </w:pPr>
    </w:p>
    <w:p w:rsidR="003A5543" w:rsidRPr="003A5543" w:rsidRDefault="003A5543" w:rsidP="003A5543">
      <w:pPr>
        <w:ind w:left="360"/>
      </w:pPr>
    </w:p>
    <w:p w:rsidR="003A5543" w:rsidRPr="003A5543" w:rsidRDefault="003A5543" w:rsidP="003A5543">
      <w:pPr>
        <w:rPr>
          <w:rFonts w:ascii="Calibri" w:hAnsi="Calibri" w:cs="Arial"/>
        </w:rPr>
      </w:pPr>
    </w:p>
    <w:p w:rsidR="003C691D" w:rsidRPr="003A5543" w:rsidRDefault="003C691D">
      <w:pPr>
        <w:rPr>
          <w:rFonts w:ascii="Calibri" w:hAnsi="Calibri" w:cs="Arial"/>
        </w:rPr>
      </w:pPr>
    </w:p>
    <w:p w:rsidR="003C691D" w:rsidRPr="003A5543" w:rsidRDefault="003C691D">
      <w:pPr>
        <w:rPr>
          <w:rFonts w:ascii="Calibri" w:hAnsi="Calibri" w:cs="Arial"/>
        </w:rPr>
      </w:pPr>
    </w:p>
    <w:p w:rsidR="00712E09" w:rsidRPr="003A5543" w:rsidRDefault="00712E09"/>
    <w:sectPr w:rsidR="00712E09" w:rsidRPr="003A554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F885D25"/>
    <w:multiLevelType w:val="hybridMultilevel"/>
    <w:tmpl w:val="FF945AF0"/>
    <w:lvl w:ilvl="0" w:tplc="272AC248">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E09"/>
    <w:rsid w:val="000A46B5"/>
    <w:rsid w:val="003611F5"/>
    <w:rsid w:val="003A5543"/>
    <w:rsid w:val="003C691D"/>
    <w:rsid w:val="003C7D22"/>
    <w:rsid w:val="004B1F8A"/>
    <w:rsid w:val="00712E09"/>
    <w:rsid w:val="00AD3118"/>
    <w:rsid w:val="00BB52E1"/>
    <w:rsid w:val="00DA5103"/>
    <w:rsid w:val="00DD3E52"/>
    <w:rsid w:val="00F547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AAAC9D-82F7-4373-8677-B93A143D4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2E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69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4B8F8883</Template>
  <TotalTime>32</TotalTime>
  <Pages>2</Pages>
  <Words>822</Words>
  <Characters>4687</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Piw</dc:creator>
  <cp:keywords/>
  <dc:description/>
  <cp:lastModifiedBy>Fraiture, Pierre-Philippe</cp:lastModifiedBy>
  <cp:revision>2</cp:revision>
  <dcterms:created xsi:type="dcterms:W3CDTF">2017-02-25T17:50:00Z</dcterms:created>
  <dcterms:modified xsi:type="dcterms:W3CDTF">2017-02-28T10:32:00Z</dcterms:modified>
</cp:coreProperties>
</file>