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38F8" w:rsidRPr="004038F8" w:rsidRDefault="004038F8" w:rsidP="004038F8">
      <w:pPr>
        <w:spacing w:before="100" w:beforeAutospacing="1" w:after="100" w:afterAutospacing="1"/>
        <w:rPr>
          <w:rFonts w:asciiTheme="minorHAnsi" w:hAnsiTheme="minorHAnsi"/>
          <w:b/>
          <w:sz w:val="22"/>
          <w:szCs w:val="22"/>
        </w:rPr>
      </w:pPr>
      <w:r w:rsidRPr="004038F8">
        <w:rPr>
          <w:rFonts w:asciiTheme="minorHAnsi" w:hAnsiTheme="minorHAnsi"/>
          <w:b/>
          <w:sz w:val="22"/>
          <w:szCs w:val="22"/>
        </w:rPr>
        <w:t>FR329 Slavery and After – Seminar weeks 7 &amp; 8</w:t>
      </w:r>
    </w:p>
    <w:p w:rsidR="004038F8" w:rsidRPr="004038F8" w:rsidRDefault="004038F8" w:rsidP="004038F8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Theme="minorHAnsi" w:hAnsiTheme="minorHAnsi"/>
          <w:sz w:val="22"/>
          <w:szCs w:val="22"/>
        </w:rPr>
      </w:pPr>
      <w:r w:rsidRPr="004038F8">
        <w:rPr>
          <w:rFonts w:asciiTheme="minorHAnsi" w:hAnsiTheme="minorHAnsi"/>
          <w:sz w:val="22"/>
          <w:szCs w:val="22"/>
        </w:rPr>
        <w:t xml:space="preserve">Comment on the epigraph. How does </w:t>
      </w:r>
      <w:r>
        <w:rPr>
          <w:rFonts w:asciiTheme="minorHAnsi" w:hAnsiTheme="minorHAnsi"/>
          <w:sz w:val="22"/>
          <w:szCs w:val="22"/>
        </w:rPr>
        <w:t>this standpoint influence Condé’</w:t>
      </w:r>
      <w:r w:rsidRPr="004038F8">
        <w:rPr>
          <w:rFonts w:asciiTheme="minorHAnsi" w:hAnsiTheme="minorHAnsi"/>
          <w:sz w:val="22"/>
          <w:szCs w:val="22"/>
        </w:rPr>
        <w:t>s writing strategy? Focus on Chapter</w:t>
      </w:r>
      <w:r w:rsidR="00C725DC">
        <w:rPr>
          <w:rFonts w:asciiTheme="minorHAnsi" w:hAnsiTheme="minorHAnsi"/>
          <w:sz w:val="22"/>
          <w:szCs w:val="22"/>
        </w:rPr>
        <w:t>s</w:t>
      </w:r>
      <w:r w:rsidRPr="004038F8">
        <w:rPr>
          <w:rFonts w:asciiTheme="minorHAnsi" w:hAnsiTheme="minorHAnsi"/>
          <w:sz w:val="22"/>
          <w:szCs w:val="22"/>
        </w:rPr>
        <w:t xml:space="preserve"> 2</w:t>
      </w:r>
      <w:r w:rsidR="00C725DC">
        <w:rPr>
          <w:rFonts w:asciiTheme="minorHAnsi" w:hAnsiTheme="minorHAnsi"/>
          <w:sz w:val="22"/>
          <w:szCs w:val="22"/>
        </w:rPr>
        <w:t xml:space="preserve"> &amp;4</w:t>
      </w:r>
      <w:bookmarkStart w:id="0" w:name="_GoBack"/>
      <w:bookmarkEnd w:id="0"/>
      <w:r w:rsidRPr="004038F8">
        <w:rPr>
          <w:rFonts w:asciiTheme="minorHAnsi" w:hAnsiTheme="minorHAnsi"/>
          <w:sz w:val="22"/>
          <w:szCs w:val="22"/>
        </w:rPr>
        <w:t>.</w:t>
      </w:r>
    </w:p>
    <w:p w:rsidR="004038F8" w:rsidRPr="004038F8" w:rsidRDefault="004038F8" w:rsidP="004038F8">
      <w:pPr>
        <w:pStyle w:val="ListParagraph"/>
        <w:spacing w:before="100" w:beforeAutospacing="1" w:after="100" w:afterAutospacing="1"/>
        <w:rPr>
          <w:rFonts w:asciiTheme="minorHAnsi" w:hAnsiTheme="minorHAnsi"/>
          <w:sz w:val="22"/>
          <w:szCs w:val="22"/>
        </w:rPr>
      </w:pPr>
    </w:p>
    <w:p w:rsidR="004038F8" w:rsidRPr="004038F8" w:rsidRDefault="004038F8" w:rsidP="004038F8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Theme="minorHAnsi" w:hAnsiTheme="minorHAnsi"/>
          <w:sz w:val="22"/>
          <w:szCs w:val="22"/>
        </w:rPr>
      </w:pPr>
      <w:r w:rsidRPr="004038F8">
        <w:rPr>
          <w:rFonts w:asciiTheme="minorHAnsi" w:hAnsiTheme="minorHAnsi"/>
          <w:sz w:val="22"/>
          <w:szCs w:val="22"/>
        </w:rPr>
        <w:t xml:space="preserve">Explore the figure of Dernier Argilius and </w:t>
      </w:r>
      <w:r>
        <w:rPr>
          <w:rFonts w:asciiTheme="minorHAnsi" w:hAnsiTheme="minorHAnsi"/>
          <w:sz w:val="22"/>
          <w:szCs w:val="22"/>
        </w:rPr>
        <w:t xml:space="preserve">the significance of </w:t>
      </w:r>
      <w:r w:rsidRPr="004038F8">
        <w:rPr>
          <w:rFonts w:asciiTheme="minorHAnsi" w:hAnsiTheme="minorHAnsi"/>
          <w:sz w:val="22"/>
          <w:szCs w:val="22"/>
        </w:rPr>
        <w:t>légitimisme</w:t>
      </w:r>
      <w:r>
        <w:rPr>
          <w:rFonts w:asciiTheme="minorHAnsi" w:hAnsiTheme="minorHAnsi"/>
          <w:sz w:val="22"/>
          <w:szCs w:val="22"/>
        </w:rPr>
        <w:t xml:space="preserve"> in Caribbean (and Guadeloupean) politics</w:t>
      </w:r>
      <w:r w:rsidRPr="004038F8">
        <w:rPr>
          <w:rFonts w:asciiTheme="minorHAnsi" w:hAnsiTheme="minorHAnsi"/>
          <w:sz w:val="22"/>
          <w:szCs w:val="22"/>
        </w:rPr>
        <w:t>. Focus on Chapters 4 &amp; 8.</w:t>
      </w:r>
    </w:p>
    <w:p w:rsidR="004038F8" w:rsidRPr="004038F8" w:rsidRDefault="004038F8" w:rsidP="004038F8">
      <w:pPr>
        <w:pStyle w:val="ListParagraph"/>
        <w:rPr>
          <w:rFonts w:asciiTheme="minorHAnsi" w:hAnsiTheme="minorHAnsi"/>
          <w:sz w:val="22"/>
          <w:szCs w:val="22"/>
        </w:rPr>
      </w:pPr>
    </w:p>
    <w:p w:rsidR="004038F8" w:rsidRPr="004038F8" w:rsidRDefault="004038F8" w:rsidP="004038F8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Theme="minorHAnsi" w:hAnsiTheme="minorHAnsi"/>
          <w:sz w:val="22"/>
          <w:szCs w:val="22"/>
        </w:rPr>
      </w:pPr>
      <w:r w:rsidRPr="004038F8">
        <w:rPr>
          <w:rFonts w:asciiTheme="minorHAnsi" w:hAnsiTheme="minorHAnsi"/>
          <w:sz w:val="22"/>
          <w:szCs w:val="22"/>
        </w:rPr>
        <w:t>Explore the links between gender, sexuality, race and class.</w:t>
      </w:r>
    </w:p>
    <w:p w:rsidR="004038F8" w:rsidRPr="004038F8" w:rsidRDefault="004038F8" w:rsidP="004038F8">
      <w:pPr>
        <w:pStyle w:val="ListParagraph"/>
        <w:spacing w:before="100" w:beforeAutospacing="1" w:after="100" w:afterAutospacing="1"/>
        <w:rPr>
          <w:rFonts w:asciiTheme="minorHAnsi" w:hAnsiTheme="minorHAnsi"/>
          <w:sz w:val="22"/>
          <w:szCs w:val="22"/>
        </w:rPr>
      </w:pPr>
    </w:p>
    <w:p w:rsidR="004038F8" w:rsidRPr="004038F8" w:rsidRDefault="004038F8" w:rsidP="004038F8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Theme="minorHAnsi" w:hAnsiTheme="minorHAnsi"/>
          <w:sz w:val="22"/>
          <w:szCs w:val="22"/>
        </w:rPr>
      </w:pPr>
      <w:r w:rsidRPr="004038F8">
        <w:rPr>
          <w:rFonts w:asciiTheme="minorHAnsi" w:hAnsiTheme="minorHAnsi"/>
          <w:sz w:val="22"/>
          <w:szCs w:val="22"/>
        </w:rPr>
        <w:t>At various points in the novel, cooking is elevated to the status of an art form. Is it important and, if so, why? Focus on Chapter 7.</w:t>
      </w:r>
    </w:p>
    <w:p w:rsidR="004038F8" w:rsidRPr="004038F8" w:rsidRDefault="004038F8" w:rsidP="004038F8">
      <w:pPr>
        <w:pStyle w:val="ListParagraph"/>
        <w:spacing w:before="100" w:beforeAutospacing="1" w:after="100" w:afterAutospacing="1"/>
        <w:rPr>
          <w:rFonts w:asciiTheme="minorHAnsi" w:hAnsiTheme="minorHAnsi"/>
          <w:sz w:val="22"/>
          <w:szCs w:val="22"/>
        </w:rPr>
      </w:pPr>
    </w:p>
    <w:p w:rsidR="004038F8" w:rsidRPr="004038F8" w:rsidRDefault="004038F8" w:rsidP="004038F8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Theme="minorHAnsi" w:hAnsiTheme="minorHAnsi"/>
          <w:sz w:val="22"/>
          <w:szCs w:val="22"/>
        </w:rPr>
      </w:pPr>
      <w:r w:rsidRPr="004038F8">
        <w:rPr>
          <w:rFonts w:asciiTheme="minorHAnsi" w:hAnsiTheme="minorHAnsi"/>
          <w:sz w:val="22"/>
          <w:szCs w:val="22"/>
        </w:rPr>
        <w:t>How do Chapters 11 and 15 explore racial politics and social change in Guadeloupe at the beginning of the 20th C?</w:t>
      </w:r>
    </w:p>
    <w:p w:rsidR="004038F8" w:rsidRPr="004038F8" w:rsidRDefault="004038F8" w:rsidP="004038F8">
      <w:pPr>
        <w:pStyle w:val="ListParagraph"/>
        <w:rPr>
          <w:rFonts w:asciiTheme="minorHAnsi" w:hAnsiTheme="minorHAnsi"/>
          <w:sz w:val="22"/>
          <w:szCs w:val="22"/>
        </w:rPr>
      </w:pPr>
    </w:p>
    <w:p w:rsidR="004038F8" w:rsidRPr="004038F8" w:rsidRDefault="004038F8" w:rsidP="004038F8">
      <w:pPr>
        <w:pStyle w:val="ListParagraph"/>
        <w:spacing w:before="100" w:beforeAutospacing="1" w:after="100" w:afterAutospacing="1"/>
        <w:rPr>
          <w:rFonts w:asciiTheme="minorHAnsi" w:hAnsiTheme="minorHAnsi"/>
          <w:sz w:val="22"/>
          <w:szCs w:val="22"/>
        </w:rPr>
      </w:pPr>
    </w:p>
    <w:p w:rsidR="004038F8" w:rsidRPr="004038F8" w:rsidRDefault="004038F8" w:rsidP="004038F8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Theme="minorHAnsi" w:hAnsiTheme="minorHAnsi"/>
          <w:sz w:val="22"/>
          <w:szCs w:val="22"/>
        </w:rPr>
      </w:pPr>
      <w:r w:rsidRPr="004038F8">
        <w:rPr>
          <w:rFonts w:asciiTheme="minorHAnsi" w:hAnsiTheme="minorHAnsi"/>
          <w:sz w:val="22"/>
          <w:szCs w:val="22"/>
          <w:lang w:val="fr-BE"/>
        </w:rPr>
        <w:t xml:space="preserve">How close is Condé to Fanon’s observations in ‘Le noir et le langage’? </w:t>
      </w:r>
      <w:r w:rsidRPr="004038F8">
        <w:rPr>
          <w:rFonts w:asciiTheme="minorHAnsi" w:hAnsiTheme="minorHAnsi"/>
          <w:sz w:val="22"/>
          <w:szCs w:val="22"/>
        </w:rPr>
        <w:t>Focus on Chapter 7, pp. 126-128; Chapter 14, pp. 222-225; and on Jérémie Labrou in Chapter 19.</w:t>
      </w:r>
    </w:p>
    <w:p w:rsidR="004038F8" w:rsidRPr="004038F8" w:rsidRDefault="004038F8" w:rsidP="004038F8">
      <w:pPr>
        <w:pStyle w:val="ListParagraph"/>
        <w:spacing w:before="100" w:beforeAutospacing="1" w:after="100" w:afterAutospacing="1"/>
        <w:rPr>
          <w:rFonts w:asciiTheme="minorHAnsi" w:hAnsiTheme="minorHAnsi"/>
          <w:sz w:val="22"/>
          <w:szCs w:val="22"/>
        </w:rPr>
      </w:pPr>
    </w:p>
    <w:p w:rsidR="004038F8" w:rsidRDefault="004038F8" w:rsidP="004038F8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Theme="minorHAnsi" w:hAnsiTheme="minorHAnsi"/>
          <w:sz w:val="22"/>
          <w:szCs w:val="22"/>
        </w:rPr>
      </w:pPr>
      <w:r w:rsidRPr="004038F8">
        <w:rPr>
          <w:rFonts w:asciiTheme="minorHAnsi" w:hAnsiTheme="minorHAnsi"/>
          <w:sz w:val="22"/>
          <w:szCs w:val="22"/>
        </w:rPr>
        <w:t>Why and how does Condé focus on Césaire in Chapter 16?</w:t>
      </w:r>
    </w:p>
    <w:p w:rsidR="004038F8" w:rsidRPr="004038F8" w:rsidRDefault="004038F8" w:rsidP="004038F8">
      <w:pPr>
        <w:pStyle w:val="ListParagraph"/>
        <w:rPr>
          <w:rFonts w:asciiTheme="minorHAnsi" w:hAnsiTheme="minorHAnsi"/>
          <w:sz w:val="22"/>
          <w:szCs w:val="22"/>
        </w:rPr>
      </w:pPr>
    </w:p>
    <w:p w:rsidR="004038F8" w:rsidRPr="004038F8" w:rsidRDefault="004038F8" w:rsidP="004038F8">
      <w:pPr>
        <w:pStyle w:val="ListParagraph"/>
        <w:numPr>
          <w:ilvl w:val="0"/>
          <w:numId w:val="1"/>
        </w:numPr>
        <w:spacing w:before="100" w:beforeAutospacing="1" w:after="100" w:afterAutospacing="1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How does</w:t>
      </w:r>
      <w:r w:rsidR="004218EC">
        <w:rPr>
          <w:rFonts w:asciiTheme="minorHAnsi" w:hAnsiTheme="minorHAnsi"/>
          <w:sz w:val="22"/>
          <w:szCs w:val="22"/>
        </w:rPr>
        <w:t xml:space="preserve"> Condé distinguish </w:t>
      </w:r>
      <w:r w:rsidR="004218EC" w:rsidRPr="004218EC">
        <w:rPr>
          <w:rFonts w:asciiTheme="minorHAnsi" w:hAnsiTheme="minorHAnsi"/>
          <w:b/>
          <w:sz w:val="22"/>
          <w:szCs w:val="22"/>
        </w:rPr>
        <w:t>H</w:t>
      </w:r>
      <w:r w:rsidR="004218EC">
        <w:rPr>
          <w:rFonts w:asciiTheme="minorHAnsi" w:hAnsiTheme="minorHAnsi"/>
          <w:sz w:val="22"/>
          <w:szCs w:val="22"/>
        </w:rPr>
        <w:t xml:space="preserve">istory from histories – why is it significant of her postcolonial approach? </w:t>
      </w:r>
    </w:p>
    <w:p w:rsidR="009D4190" w:rsidRPr="004038F8" w:rsidRDefault="009D4190">
      <w:pPr>
        <w:rPr>
          <w:rFonts w:asciiTheme="minorHAnsi" w:hAnsiTheme="minorHAnsi"/>
          <w:sz w:val="22"/>
          <w:szCs w:val="22"/>
        </w:rPr>
      </w:pPr>
    </w:p>
    <w:sectPr w:rsidR="009D4190" w:rsidRPr="004038F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A2B38C3"/>
    <w:multiLevelType w:val="hybridMultilevel"/>
    <w:tmpl w:val="F46EADD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38F8"/>
    <w:rsid w:val="004038F8"/>
    <w:rsid w:val="004218EC"/>
    <w:rsid w:val="009D4190"/>
    <w:rsid w:val="00B13D10"/>
    <w:rsid w:val="00C50DD5"/>
    <w:rsid w:val="00C725DC"/>
    <w:rsid w:val="00DA5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D6E39C4-62D0-4555-82B2-C92E9BC9E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038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868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103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62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535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407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02695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40914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divBdr>
                              <w:divsChild>
                                <w:div w:id="7706600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16182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49936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46628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283131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481399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39170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73646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3104097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63140684">
                                                                      <w:marLeft w:val="405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0598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1312310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6878931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6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8963588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8416732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6040058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8852741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09277390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4626882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7809256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6746995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F3DA22B1</Template>
  <TotalTime>11</TotalTime>
  <Pages>1</Pages>
  <Words>140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Fraiture, Pierre-Philippe</dc:creator>
  <cp:keywords/>
  <dc:description/>
  <cp:lastModifiedBy>Fraiture, Pierre-Philippe</cp:lastModifiedBy>
  <cp:revision>2</cp:revision>
  <dcterms:created xsi:type="dcterms:W3CDTF">2017-02-02T10:32:00Z</dcterms:created>
  <dcterms:modified xsi:type="dcterms:W3CDTF">2017-02-02T10:45:00Z</dcterms:modified>
</cp:coreProperties>
</file>