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53847" w:rsidRDefault="002D0AF3" w:rsidP="002D0AF3">
      <w:pPr>
        <w:jc w:val="center"/>
        <w:rPr>
          <w:sz w:val="22"/>
          <w:szCs w:val="22"/>
        </w:rPr>
      </w:pPr>
      <w:r w:rsidRPr="00953847">
        <w:rPr>
          <w:sz w:val="22"/>
          <w:szCs w:val="22"/>
        </w:rPr>
        <w:t xml:space="preserve">FR331 </w:t>
      </w:r>
    </w:p>
    <w:p w:rsidR="001014D9" w:rsidRDefault="002D0AF3" w:rsidP="002D0AF3">
      <w:pPr>
        <w:jc w:val="center"/>
        <w:rPr>
          <w:b/>
          <w:sz w:val="22"/>
          <w:szCs w:val="22"/>
        </w:rPr>
      </w:pPr>
      <w:r w:rsidRPr="00953847">
        <w:rPr>
          <w:b/>
          <w:sz w:val="22"/>
          <w:szCs w:val="22"/>
        </w:rPr>
        <w:t xml:space="preserve">Erasmus &amp; Rabelais: a </w:t>
      </w:r>
      <w:r w:rsidR="00953847">
        <w:rPr>
          <w:b/>
          <w:sz w:val="22"/>
          <w:szCs w:val="22"/>
        </w:rPr>
        <w:t>Humanist Take on War, Just War, and P</w:t>
      </w:r>
      <w:r w:rsidRPr="00953847">
        <w:rPr>
          <w:b/>
          <w:sz w:val="22"/>
          <w:szCs w:val="22"/>
        </w:rPr>
        <w:t>eace</w:t>
      </w:r>
    </w:p>
    <w:p w:rsidR="00953847" w:rsidRDefault="00953847" w:rsidP="002D0AF3">
      <w:pPr>
        <w:jc w:val="center"/>
        <w:rPr>
          <w:b/>
          <w:sz w:val="22"/>
          <w:szCs w:val="22"/>
        </w:rPr>
      </w:pPr>
    </w:p>
    <w:p w:rsidR="00953847" w:rsidRPr="00953847" w:rsidRDefault="00953847" w:rsidP="002D0AF3">
      <w:pPr>
        <w:jc w:val="center"/>
        <w:rPr>
          <w:b/>
          <w:sz w:val="22"/>
          <w:szCs w:val="22"/>
        </w:rPr>
      </w:pPr>
      <w:bookmarkStart w:id="0" w:name="_GoBack"/>
      <w:bookmarkEnd w:id="0"/>
      <w:r>
        <w:rPr>
          <w:b/>
          <w:sz w:val="22"/>
          <w:szCs w:val="22"/>
        </w:rPr>
        <w:t>worksheet</w:t>
      </w:r>
    </w:p>
    <w:p w:rsidR="002D0AF3" w:rsidRPr="00953847" w:rsidRDefault="002D0AF3" w:rsidP="002D0AF3">
      <w:pPr>
        <w:jc w:val="center"/>
        <w:rPr>
          <w:sz w:val="22"/>
          <w:szCs w:val="22"/>
        </w:rPr>
      </w:pPr>
    </w:p>
    <w:p w:rsidR="002D0AF3" w:rsidRPr="00953847" w:rsidRDefault="002D0AF3" w:rsidP="002D0AF3">
      <w:pPr>
        <w:jc w:val="both"/>
        <w:rPr>
          <w:sz w:val="22"/>
          <w:szCs w:val="22"/>
        </w:rPr>
      </w:pPr>
    </w:p>
    <w:p w:rsidR="002D0AF3" w:rsidRPr="00953847" w:rsidRDefault="002D0AF3" w:rsidP="002D0AF3">
      <w:pPr>
        <w:pStyle w:val="ListParagraph"/>
        <w:numPr>
          <w:ilvl w:val="0"/>
          <w:numId w:val="1"/>
        </w:numPr>
        <w:jc w:val="both"/>
        <w:rPr>
          <w:sz w:val="22"/>
          <w:szCs w:val="22"/>
        </w:rPr>
      </w:pPr>
      <w:r w:rsidRPr="00953847">
        <w:rPr>
          <w:sz w:val="22"/>
          <w:szCs w:val="22"/>
        </w:rPr>
        <w:t>Find out more about Desiderius Erasmus and François Rabelais:</w:t>
      </w:r>
    </w:p>
    <w:p w:rsidR="002D0AF3" w:rsidRPr="00953847" w:rsidRDefault="002D0AF3" w:rsidP="002D0AF3">
      <w:pPr>
        <w:pStyle w:val="ListParagraph"/>
        <w:numPr>
          <w:ilvl w:val="0"/>
          <w:numId w:val="2"/>
        </w:numPr>
        <w:jc w:val="both"/>
        <w:rPr>
          <w:sz w:val="22"/>
          <w:szCs w:val="22"/>
        </w:rPr>
      </w:pPr>
      <w:r w:rsidRPr="00953847">
        <w:rPr>
          <w:sz w:val="22"/>
          <w:szCs w:val="22"/>
        </w:rPr>
        <w:t>When did they live? What are the highlights of their biographies?</w:t>
      </w:r>
    </w:p>
    <w:p w:rsidR="002D0AF3" w:rsidRPr="00953847" w:rsidRDefault="002D0AF3" w:rsidP="002D0AF3">
      <w:pPr>
        <w:pStyle w:val="ListParagraph"/>
        <w:numPr>
          <w:ilvl w:val="0"/>
          <w:numId w:val="2"/>
        </w:numPr>
        <w:jc w:val="both"/>
        <w:rPr>
          <w:sz w:val="22"/>
          <w:szCs w:val="22"/>
        </w:rPr>
      </w:pPr>
      <w:r w:rsidRPr="00953847">
        <w:rPr>
          <w:sz w:val="22"/>
          <w:szCs w:val="22"/>
        </w:rPr>
        <w:t>How do Erasmus and Rabelais relate to each other?</w:t>
      </w:r>
    </w:p>
    <w:p w:rsidR="002D0AF3" w:rsidRPr="00953847" w:rsidRDefault="002D0AF3" w:rsidP="002D0AF3">
      <w:pPr>
        <w:pStyle w:val="ListParagraph"/>
        <w:numPr>
          <w:ilvl w:val="0"/>
          <w:numId w:val="2"/>
        </w:numPr>
        <w:jc w:val="both"/>
        <w:rPr>
          <w:sz w:val="22"/>
          <w:szCs w:val="22"/>
        </w:rPr>
      </w:pPr>
      <w:r w:rsidRPr="00953847">
        <w:rPr>
          <w:sz w:val="22"/>
          <w:szCs w:val="22"/>
        </w:rPr>
        <w:t>What is each especially known for? What were their main writings?</w:t>
      </w:r>
    </w:p>
    <w:p w:rsidR="002D0AF3" w:rsidRPr="00953847" w:rsidRDefault="002D0AF3" w:rsidP="002D0AF3">
      <w:pPr>
        <w:jc w:val="both"/>
        <w:rPr>
          <w:sz w:val="22"/>
          <w:szCs w:val="22"/>
        </w:rPr>
      </w:pPr>
    </w:p>
    <w:p w:rsidR="002D0AF3" w:rsidRPr="00953847" w:rsidRDefault="002D0AF3" w:rsidP="002D0AF3">
      <w:pPr>
        <w:pStyle w:val="ListParagraph"/>
        <w:numPr>
          <w:ilvl w:val="0"/>
          <w:numId w:val="1"/>
        </w:numPr>
        <w:jc w:val="both"/>
        <w:rPr>
          <w:sz w:val="22"/>
          <w:szCs w:val="22"/>
        </w:rPr>
      </w:pPr>
      <w:r w:rsidRPr="00953847">
        <w:rPr>
          <w:sz w:val="22"/>
          <w:szCs w:val="22"/>
        </w:rPr>
        <w:t>Erasmus</w:t>
      </w:r>
    </w:p>
    <w:p w:rsidR="0004427E" w:rsidRPr="00953847" w:rsidRDefault="005B17B8" w:rsidP="002D0AF3">
      <w:pPr>
        <w:pStyle w:val="ListParagraph"/>
        <w:numPr>
          <w:ilvl w:val="0"/>
          <w:numId w:val="3"/>
        </w:numPr>
        <w:jc w:val="both"/>
        <w:rPr>
          <w:sz w:val="22"/>
          <w:szCs w:val="22"/>
        </w:rPr>
      </w:pPr>
      <w:r w:rsidRPr="00953847">
        <w:rPr>
          <w:sz w:val="22"/>
          <w:szCs w:val="22"/>
        </w:rPr>
        <w:t>‘Dulce bellum inexpertis’</w:t>
      </w:r>
      <w:r w:rsidR="0004427E" w:rsidRPr="00953847">
        <w:rPr>
          <w:sz w:val="22"/>
          <w:szCs w:val="22"/>
        </w:rPr>
        <w:t xml:space="preserve"> (Adage IV, 1, 1).</w:t>
      </w:r>
    </w:p>
    <w:p w:rsidR="0004427E" w:rsidRPr="00953847" w:rsidRDefault="0004427E" w:rsidP="0004427E">
      <w:pPr>
        <w:ind w:left="720"/>
        <w:jc w:val="both"/>
        <w:rPr>
          <w:sz w:val="22"/>
          <w:szCs w:val="22"/>
        </w:rPr>
      </w:pPr>
      <w:r w:rsidRPr="00953847">
        <w:rPr>
          <w:sz w:val="22"/>
          <w:szCs w:val="22"/>
        </w:rPr>
        <w:t>R</w:t>
      </w:r>
      <w:r w:rsidR="005B17B8" w:rsidRPr="00953847">
        <w:rPr>
          <w:sz w:val="22"/>
          <w:szCs w:val="22"/>
        </w:rPr>
        <w:t>ead M. M. Phillips’ En</w:t>
      </w:r>
      <w:r w:rsidRPr="00953847">
        <w:rPr>
          <w:sz w:val="22"/>
          <w:szCs w:val="22"/>
        </w:rPr>
        <w:t>glish translation of this adage,</w:t>
      </w:r>
    </w:p>
    <w:p w:rsidR="002D0AF3" w:rsidRPr="00953847" w:rsidRDefault="005B17B8" w:rsidP="0004427E">
      <w:pPr>
        <w:ind w:left="720"/>
        <w:jc w:val="both"/>
        <w:rPr>
          <w:sz w:val="22"/>
          <w:szCs w:val="22"/>
        </w:rPr>
      </w:pPr>
      <w:r w:rsidRPr="00953847">
        <w:rPr>
          <w:sz w:val="22"/>
          <w:szCs w:val="22"/>
        </w:rPr>
        <w:t>EITHER</w:t>
      </w:r>
    </w:p>
    <w:p w:rsidR="002D0AF3" w:rsidRPr="00953847" w:rsidRDefault="005B17B8" w:rsidP="002D0AF3">
      <w:pPr>
        <w:pStyle w:val="ListParagraph"/>
        <w:numPr>
          <w:ilvl w:val="1"/>
          <w:numId w:val="3"/>
        </w:numPr>
        <w:jc w:val="both"/>
        <w:rPr>
          <w:sz w:val="22"/>
          <w:szCs w:val="22"/>
        </w:rPr>
      </w:pPr>
      <w:r w:rsidRPr="00953847">
        <w:rPr>
          <w:sz w:val="22"/>
          <w:szCs w:val="22"/>
        </w:rPr>
        <w:t>in</w:t>
      </w:r>
      <w:r w:rsidR="0004427E" w:rsidRPr="00953847">
        <w:rPr>
          <w:sz w:val="22"/>
          <w:szCs w:val="22"/>
        </w:rPr>
        <w:t>:</w:t>
      </w:r>
      <w:r w:rsidRPr="00953847">
        <w:rPr>
          <w:sz w:val="22"/>
          <w:szCs w:val="22"/>
        </w:rPr>
        <w:t xml:space="preserve"> </w:t>
      </w:r>
      <w:r w:rsidR="002D0AF3" w:rsidRPr="00953847">
        <w:rPr>
          <w:sz w:val="22"/>
          <w:szCs w:val="22"/>
        </w:rPr>
        <w:t xml:space="preserve">Margaret Mann Phillips, </w:t>
      </w:r>
      <w:r w:rsidR="002D0AF3" w:rsidRPr="00953847">
        <w:rPr>
          <w:i/>
          <w:sz w:val="22"/>
          <w:szCs w:val="22"/>
        </w:rPr>
        <w:t xml:space="preserve">Erasmus on His Times. A Shortened Version of the Adages of Erasmus </w:t>
      </w:r>
      <w:r w:rsidR="002D0AF3" w:rsidRPr="00953847">
        <w:rPr>
          <w:sz w:val="22"/>
          <w:szCs w:val="22"/>
        </w:rPr>
        <w:t>(Cambridge University Press, 1967), pp. 107-140</w:t>
      </w:r>
    </w:p>
    <w:p w:rsidR="005B17B8" w:rsidRPr="00953847" w:rsidRDefault="005B17B8" w:rsidP="005B17B8">
      <w:pPr>
        <w:ind w:left="720"/>
        <w:jc w:val="both"/>
        <w:rPr>
          <w:sz w:val="22"/>
          <w:szCs w:val="22"/>
        </w:rPr>
      </w:pPr>
      <w:r w:rsidRPr="00953847">
        <w:rPr>
          <w:sz w:val="22"/>
          <w:szCs w:val="22"/>
        </w:rPr>
        <w:t>OR</w:t>
      </w:r>
    </w:p>
    <w:p w:rsidR="002D0AF3" w:rsidRPr="00953847" w:rsidRDefault="005B17B8" w:rsidP="002D0AF3">
      <w:pPr>
        <w:pStyle w:val="ListParagraph"/>
        <w:numPr>
          <w:ilvl w:val="1"/>
          <w:numId w:val="3"/>
        </w:numPr>
        <w:jc w:val="both"/>
        <w:rPr>
          <w:sz w:val="22"/>
          <w:szCs w:val="22"/>
        </w:rPr>
      </w:pPr>
      <w:r w:rsidRPr="00953847">
        <w:rPr>
          <w:sz w:val="22"/>
          <w:szCs w:val="22"/>
        </w:rPr>
        <w:t xml:space="preserve">in: </w:t>
      </w:r>
      <w:r w:rsidR="002D0AF3" w:rsidRPr="00953847">
        <w:rPr>
          <w:rFonts w:eastAsia="Times New Roman" w:cs="Times New Roman"/>
          <w:i/>
          <w:iCs/>
          <w:sz w:val="22"/>
          <w:szCs w:val="22"/>
        </w:rPr>
        <w:t>The Adages of Erasmus</w:t>
      </w:r>
      <w:r w:rsidR="002D0AF3" w:rsidRPr="00953847">
        <w:rPr>
          <w:rFonts w:eastAsia="Times New Roman" w:cs="Times New Roman"/>
          <w:iCs/>
          <w:sz w:val="22"/>
          <w:szCs w:val="22"/>
        </w:rPr>
        <w:t>, selected by William Barker</w:t>
      </w:r>
      <w:r w:rsidR="002D0AF3" w:rsidRPr="00953847">
        <w:rPr>
          <w:rFonts w:eastAsia="Times New Roman" w:cs="Times New Roman"/>
          <w:sz w:val="22"/>
          <w:szCs w:val="22"/>
        </w:rPr>
        <w:t xml:space="preserve"> (Toronto, Buffalo and London: University of Toronto Press, 2001), pp. 317-</w:t>
      </w:r>
      <w:r w:rsidRPr="00953847">
        <w:rPr>
          <w:rFonts w:eastAsia="Times New Roman" w:cs="Times New Roman"/>
          <w:sz w:val="22"/>
          <w:szCs w:val="22"/>
        </w:rPr>
        <w:t>356.</w:t>
      </w:r>
      <w:r w:rsidR="0004427E" w:rsidRPr="00953847">
        <w:rPr>
          <w:rFonts w:eastAsia="Times New Roman" w:cs="Times New Roman"/>
          <w:sz w:val="22"/>
          <w:szCs w:val="22"/>
        </w:rPr>
        <w:t xml:space="preserve"> Available as an e-book on Myilibrary via Warwick University Library: &lt;</w:t>
      </w:r>
      <w:r w:rsidR="0004427E" w:rsidRPr="00953847">
        <w:rPr>
          <w:rFonts w:eastAsia="Times New Roman" w:cs="Times New Roman"/>
          <w:sz w:val="22"/>
          <w:szCs w:val="22"/>
        </w:rPr>
        <w:fldChar w:fldCharType="begin"/>
      </w:r>
      <w:r w:rsidR="0004427E" w:rsidRPr="00953847">
        <w:rPr>
          <w:rFonts w:eastAsia="Times New Roman" w:cs="Times New Roman"/>
          <w:sz w:val="22"/>
          <w:szCs w:val="22"/>
        </w:rPr>
        <w:instrText xml:space="preserve"> HYPERLINK "http://www.myilibrary.com?ID=203397" \t "_blank" </w:instrText>
      </w:r>
      <w:r w:rsidR="0004427E" w:rsidRPr="00953847">
        <w:rPr>
          <w:rFonts w:eastAsia="Times New Roman" w:cs="Times New Roman"/>
          <w:sz w:val="22"/>
          <w:szCs w:val="22"/>
        </w:rPr>
      </w:r>
      <w:r w:rsidR="0004427E" w:rsidRPr="00953847">
        <w:rPr>
          <w:rFonts w:eastAsia="Times New Roman" w:cs="Times New Roman"/>
          <w:sz w:val="22"/>
          <w:szCs w:val="22"/>
        </w:rPr>
        <w:fldChar w:fldCharType="separate"/>
      </w:r>
      <w:r w:rsidR="0004427E" w:rsidRPr="00953847">
        <w:rPr>
          <w:rStyle w:val="Hyperlink"/>
          <w:rFonts w:eastAsia="Times New Roman" w:cs="Times New Roman"/>
          <w:sz w:val="22"/>
          <w:szCs w:val="22"/>
        </w:rPr>
        <w:t>http://www.myilibrary.com?ID=203397</w:t>
      </w:r>
      <w:r w:rsidR="0004427E" w:rsidRPr="00953847">
        <w:rPr>
          <w:rFonts w:eastAsia="Times New Roman" w:cs="Times New Roman"/>
          <w:sz w:val="22"/>
          <w:szCs w:val="22"/>
        </w:rPr>
        <w:fldChar w:fldCharType="end"/>
      </w:r>
      <w:r w:rsidR="0004427E" w:rsidRPr="00953847">
        <w:rPr>
          <w:rFonts w:eastAsia="Times New Roman" w:cs="Times New Roman"/>
          <w:sz w:val="22"/>
          <w:szCs w:val="22"/>
        </w:rPr>
        <w:t>&gt; (only one user at a time!)</w:t>
      </w:r>
    </w:p>
    <w:p w:rsidR="0004427E" w:rsidRPr="00953847" w:rsidRDefault="0004427E" w:rsidP="0004427E">
      <w:pPr>
        <w:ind w:left="720"/>
        <w:jc w:val="both"/>
        <w:rPr>
          <w:sz w:val="22"/>
          <w:szCs w:val="22"/>
        </w:rPr>
      </w:pPr>
      <w:r w:rsidRPr="00953847">
        <w:rPr>
          <w:sz w:val="22"/>
          <w:szCs w:val="22"/>
        </w:rPr>
        <w:t>Summarize Erasmus’ arguments in this piece, and distinguish between Classical and Biblical/Christian sources. What, in your view, is the historical context that prompts this long excursion on war and peace? How would you describe Erasmus’ ideological position?</w:t>
      </w:r>
    </w:p>
    <w:p w:rsidR="0004427E" w:rsidRPr="00953847" w:rsidRDefault="00B86160" w:rsidP="0004427E">
      <w:pPr>
        <w:pStyle w:val="ListParagraph"/>
        <w:numPr>
          <w:ilvl w:val="0"/>
          <w:numId w:val="3"/>
        </w:numPr>
        <w:jc w:val="both"/>
        <w:rPr>
          <w:sz w:val="22"/>
          <w:szCs w:val="22"/>
        </w:rPr>
      </w:pPr>
      <w:r w:rsidRPr="00953847">
        <w:rPr>
          <w:sz w:val="22"/>
          <w:szCs w:val="22"/>
        </w:rPr>
        <w:t xml:space="preserve">Expand your discussion of ‘Dulce bellum inexpertis’ by comparing it with Erasmus’ treatment in one other work: </w:t>
      </w:r>
      <w:r w:rsidR="00AD391F" w:rsidRPr="00953847">
        <w:rPr>
          <w:i/>
          <w:sz w:val="22"/>
          <w:szCs w:val="22"/>
        </w:rPr>
        <w:t xml:space="preserve">The Complaint of Peace </w:t>
      </w:r>
      <w:r w:rsidR="00AD391F" w:rsidRPr="00953847">
        <w:rPr>
          <w:sz w:val="22"/>
          <w:szCs w:val="22"/>
        </w:rPr>
        <w:t>(</w:t>
      </w:r>
      <w:r w:rsidR="00AD391F" w:rsidRPr="00953847">
        <w:rPr>
          <w:i/>
          <w:sz w:val="22"/>
          <w:szCs w:val="22"/>
        </w:rPr>
        <w:t>Querela Pacis</w:t>
      </w:r>
      <w:r w:rsidR="00AD391F" w:rsidRPr="00953847">
        <w:rPr>
          <w:sz w:val="22"/>
          <w:szCs w:val="22"/>
        </w:rPr>
        <w:t xml:space="preserve">), </w:t>
      </w:r>
      <w:r w:rsidRPr="00953847">
        <w:rPr>
          <w:i/>
          <w:sz w:val="22"/>
          <w:szCs w:val="22"/>
        </w:rPr>
        <w:t xml:space="preserve">The Praise of Folly </w:t>
      </w:r>
      <w:r w:rsidRPr="00953847">
        <w:rPr>
          <w:sz w:val="22"/>
          <w:szCs w:val="22"/>
        </w:rPr>
        <w:t xml:space="preserve">(various editions and translations available), </w:t>
      </w:r>
      <w:r w:rsidRPr="00953847">
        <w:rPr>
          <w:i/>
          <w:sz w:val="22"/>
          <w:szCs w:val="22"/>
        </w:rPr>
        <w:t>Julius Excluded from Heaven</w:t>
      </w:r>
      <w:r w:rsidRPr="00953847">
        <w:rPr>
          <w:sz w:val="22"/>
          <w:szCs w:val="22"/>
        </w:rPr>
        <w:t xml:space="preserve">, </w:t>
      </w:r>
      <w:r w:rsidRPr="00953847">
        <w:rPr>
          <w:i/>
          <w:sz w:val="22"/>
          <w:szCs w:val="22"/>
        </w:rPr>
        <w:t xml:space="preserve">The Education of a Christian Prince. </w:t>
      </w:r>
    </w:p>
    <w:p w:rsidR="00874767" w:rsidRPr="00953847" w:rsidRDefault="00874767" w:rsidP="003E0809">
      <w:pPr>
        <w:pStyle w:val="ListParagraph"/>
        <w:jc w:val="both"/>
        <w:rPr>
          <w:sz w:val="22"/>
          <w:szCs w:val="22"/>
        </w:rPr>
      </w:pPr>
    </w:p>
    <w:p w:rsidR="00B86160" w:rsidRPr="00953847" w:rsidRDefault="00B86160" w:rsidP="00B86160">
      <w:pPr>
        <w:jc w:val="both"/>
        <w:rPr>
          <w:sz w:val="22"/>
          <w:szCs w:val="22"/>
        </w:rPr>
      </w:pPr>
    </w:p>
    <w:p w:rsidR="00B86160" w:rsidRPr="00953847" w:rsidRDefault="00B86160" w:rsidP="0040530C">
      <w:pPr>
        <w:pStyle w:val="ListParagraph"/>
        <w:numPr>
          <w:ilvl w:val="0"/>
          <w:numId w:val="1"/>
        </w:numPr>
        <w:jc w:val="both"/>
        <w:rPr>
          <w:sz w:val="22"/>
          <w:szCs w:val="22"/>
        </w:rPr>
      </w:pPr>
      <w:r w:rsidRPr="00953847">
        <w:rPr>
          <w:sz w:val="22"/>
          <w:szCs w:val="22"/>
        </w:rPr>
        <w:t>Rabelais</w:t>
      </w:r>
    </w:p>
    <w:p w:rsidR="00F0505D" w:rsidRPr="00953847" w:rsidRDefault="00F0505D" w:rsidP="00F0505D">
      <w:pPr>
        <w:pStyle w:val="ListParagraph"/>
        <w:numPr>
          <w:ilvl w:val="0"/>
          <w:numId w:val="7"/>
        </w:numPr>
        <w:jc w:val="both"/>
        <w:rPr>
          <w:sz w:val="22"/>
          <w:szCs w:val="22"/>
        </w:rPr>
      </w:pPr>
      <w:r w:rsidRPr="00953847">
        <w:rPr>
          <w:sz w:val="22"/>
          <w:szCs w:val="22"/>
        </w:rPr>
        <w:t xml:space="preserve">Read the chapters on the ‘Picrocholine War’ in Rabelais, </w:t>
      </w:r>
      <w:r w:rsidRPr="00953847">
        <w:rPr>
          <w:i/>
          <w:sz w:val="22"/>
          <w:szCs w:val="22"/>
        </w:rPr>
        <w:t>Gargantua</w:t>
      </w:r>
      <w:r w:rsidRPr="00953847">
        <w:rPr>
          <w:sz w:val="22"/>
          <w:szCs w:val="22"/>
        </w:rPr>
        <w:t>, ch. 28-38, 44-51.</w:t>
      </w:r>
    </w:p>
    <w:p w:rsidR="003E0809" w:rsidRPr="00953847" w:rsidRDefault="003E0809" w:rsidP="00F0505D">
      <w:pPr>
        <w:pStyle w:val="ListParagraph"/>
        <w:numPr>
          <w:ilvl w:val="0"/>
          <w:numId w:val="7"/>
        </w:numPr>
        <w:jc w:val="both"/>
        <w:rPr>
          <w:sz w:val="22"/>
          <w:szCs w:val="22"/>
        </w:rPr>
      </w:pPr>
      <w:r w:rsidRPr="00953847">
        <w:rPr>
          <w:sz w:val="22"/>
          <w:szCs w:val="22"/>
        </w:rPr>
        <w:t>Compare and contrast the attitudes of Picrochole and Grandgousier (Gargantua’s father) in the conflict: how is agression managed? What concept of war and warfare emerges from this satirical tale?</w:t>
      </w:r>
    </w:p>
    <w:p w:rsidR="0040530C" w:rsidRPr="00953847" w:rsidRDefault="0040530C" w:rsidP="0040530C">
      <w:pPr>
        <w:jc w:val="both"/>
        <w:rPr>
          <w:sz w:val="22"/>
          <w:szCs w:val="22"/>
        </w:rPr>
      </w:pPr>
    </w:p>
    <w:p w:rsidR="0040530C" w:rsidRPr="00953847" w:rsidRDefault="0040530C" w:rsidP="00F0505D">
      <w:pPr>
        <w:pStyle w:val="ListParagraph"/>
        <w:numPr>
          <w:ilvl w:val="0"/>
          <w:numId w:val="1"/>
        </w:numPr>
        <w:jc w:val="both"/>
        <w:rPr>
          <w:sz w:val="22"/>
          <w:szCs w:val="22"/>
        </w:rPr>
      </w:pPr>
      <w:r w:rsidRPr="00953847">
        <w:rPr>
          <w:sz w:val="22"/>
          <w:szCs w:val="22"/>
        </w:rPr>
        <w:t>Some critical reading:</w:t>
      </w:r>
    </w:p>
    <w:p w:rsidR="00953847" w:rsidRPr="00953847" w:rsidRDefault="00953847" w:rsidP="00BA6618">
      <w:pPr>
        <w:pStyle w:val="NormalWeb"/>
        <w:numPr>
          <w:ilvl w:val="0"/>
          <w:numId w:val="4"/>
        </w:numPr>
        <w:rPr>
          <w:rFonts w:asciiTheme="minorHAnsi" w:hAnsiTheme="minorHAnsi" w:cstheme="minorBidi"/>
          <w:noProof/>
          <w:sz w:val="22"/>
          <w:szCs w:val="22"/>
        </w:rPr>
      </w:pPr>
      <w:r w:rsidRPr="00953847">
        <w:rPr>
          <w:rFonts w:asciiTheme="minorHAnsi" w:hAnsiTheme="minorHAnsi" w:cstheme="minorBidi"/>
          <w:noProof/>
          <w:sz w:val="22"/>
          <w:szCs w:val="22"/>
        </w:rPr>
        <w:t>William J. Beck, ‘</w:t>
      </w:r>
      <w:r w:rsidRPr="00953847">
        <w:rPr>
          <w:rFonts w:asciiTheme="minorHAnsi" w:hAnsiTheme="minorHAnsi" w:cstheme="minorBidi"/>
          <w:noProof/>
          <w:sz w:val="22"/>
          <w:szCs w:val="22"/>
        </w:rPr>
        <w:t xml:space="preserve">Additional insight into Rabelais' King </w:t>
      </w:r>
      <w:proofErr w:type="spellStart"/>
      <w:r w:rsidRPr="00953847">
        <w:rPr>
          <w:rFonts w:asciiTheme="minorHAnsi" w:hAnsiTheme="minorHAnsi" w:cstheme="minorBidi"/>
          <w:noProof/>
          <w:sz w:val="22"/>
          <w:szCs w:val="22"/>
        </w:rPr>
        <w:t>Picrochole</w:t>
      </w:r>
      <w:proofErr w:type="spellEnd"/>
      <w:r w:rsidRPr="00953847">
        <w:rPr>
          <w:rFonts w:asciiTheme="minorHAnsi" w:hAnsiTheme="minorHAnsi" w:cstheme="minorBidi"/>
          <w:noProof/>
          <w:sz w:val="22"/>
          <w:szCs w:val="22"/>
        </w:rPr>
        <w:t xml:space="preserve">’, </w:t>
      </w:r>
      <w:proofErr w:type="spellStart"/>
      <w:r w:rsidRPr="00953847">
        <w:rPr>
          <w:rFonts w:asciiTheme="minorHAnsi" w:hAnsiTheme="minorHAnsi" w:cstheme="minorBidi"/>
          <w:noProof/>
          <w:sz w:val="22"/>
          <w:szCs w:val="22"/>
        </w:rPr>
        <w:t>Neophilologus</w:t>
      </w:r>
      <w:proofErr w:type="spellEnd"/>
      <w:r w:rsidRPr="00953847">
        <w:rPr>
          <w:rFonts w:asciiTheme="minorHAnsi" w:hAnsiTheme="minorHAnsi" w:cstheme="minorBidi"/>
          <w:noProof/>
          <w:sz w:val="22"/>
          <w:szCs w:val="22"/>
        </w:rPr>
        <w:t xml:space="preserve"> 64.1 (1980), pp. 42-47 (available via SpringerLink).</w:t>
      </w:r>
    </w:p>
    <w:p w:rsidR="00BA6618" w:rsidRPr="00953847" w:rsidRDefault="0040530C" w:rsidP="00BA6618">
      <w:pPr>
        <w:pStyle w:val="NormalWeb"/>
        <w:numPr>
          <w:ilvl w:val="0"/>
          <w:numId w:val="4"/>
        </w:numPr>
        <w:rPr>
          <w:rFonts w:asciiTheme="minorHAnsi" w:hAnsiTheme="minorHAnsi" w:cstheme="minorBidi"/>
          <w:noProof/>
          <w:sz w:val="22"/>
          <w:szCs w:val="22"/>
        </w:rPr>
      </w:pPr>
      <w:r w:rsidRPr="00953847">
        <w:rPr>
          <w:rFonts w:asciiTheme="minorHAnsi" w:hAnsiTheme="minorHAnsi" w:cstheme="minorBidi"/>
          <w:noProof/>
          <w:sz w:val="22"/>
          <w:szCs w:val="22"/>
        </w:rPr>
        <w:t>Jacques Chomarat ‘U</w:t>
      </w:r>
      <w:r w:rsidR="00C15B4F" w:rsidRPr="00953847">
        <w:rPr>
          <w:rFonts w:asciiTheme="minorHAnsi" w:hAnsiTheme="minorHAnsi" w:cstheme="minorBidi"/>
          <w:noProof/>
          <w:sz w:val="22"/>
          <w:szCs w:val="22"/>
        </w:rPr>
        <w:t xml:space="preserve">n ennemi de la guerre : Érasme’, </w:t>
      </w:r>
      <w:r w:rsidR="00C15B4F" w:rsidRPr="00953847">
        <w:rPr>
          <w:rFonts w:asciiTheme="minorHAnsi" w:hAnsiTheme="minorHAnsi" w:cstheme="minorBidi"/>
          <w:i/>
          <w:noProof/>
          <w:sz w:val="22"/>
          <w:szCs w:val="22"/>
        </w:rPr>
        <w:t>Bulletin de l’</w:t>
      </w:r>
      <w:r w:rsidRPr="00953847">
        <w:rPr>
          <w:rFonts w:asciiTheme="minorHAnsi" w:hAnsiTheme="minorHAnsi" w:cstheme="minorBidi"/>
          <w:i/>
          <w:noProof/>
          <w:sz w:val="22"/>
          <w:szCs w:val="22"/>
        </w:rPr>
        <w:t>Association Gui</w:t>
      </w:r>
      <w:r w:rsidR="00C15B4F" w:rsidRPr="00953847">
        <w:rPr>
          <w:rFonts w:asciiTheme="minorHAnsi" w:hAnsiTheme="minorHAnsi" w:cstheme="minorBidi"/>
          <w:i/>
          <w:noProof/>
          <w:sz w:val="22"/>
          <w:szCs w:val="22"/>
        </w:rPr>
        <w:t>llaume Budé : Lettres d’</w:t>
      </w:r>
      <w:r w:rsidRPr="00953847">
        <w:rPr>
          <w:rFonts w:asciiTheme="minorHAnsi" w:hAnsiTheme="minorHAnsi" w:cstheme="minorBidi"/>
          <w:i/>
          <w:noProof/>
          <w:sz w:val="22"/>
          <w:szCs w:val="22"/>
        </w:rPr>
        <w:t>humanité</w:t>
      </w:r>
      <w:r w:rsidRPr="00953847">
        <w:rPr>
          <w:rFonts w:asciiTheme="minorHAnsi" w:hAnsiTheme="minorHAnsi" w:cstheme="minorBidi"/>
          <w:noProof/>
          <w:sz w:val="22"/>
          <w:szCs w:val="22"/>
        </w:rPr>
        <w:t>, 33</w:t>
      </w:r>
      <w:r w:rsidR="00C15B4F" w:rsidRPr="00953847">
        <w:rPr>
          <w:rFonts w:asciiTheme="minorHAnsi" w:hAnsiTheme="minorHAnsi" w:cstheme="minorBidi"/>
          <w:noProof/>
          <w:sz w:val="22"/>
          <w:szCs w:val="22"/>
        </w:rPr>
        <w:t xml:space="preserve"> (1974), </w:t>
      </w:r>
      <w:r w:rsidRPr="00953847">
        <w:rPr>
          <w:rFonts w:asciiTheme="minorHAnsi" w:hAnsiTheme="minorHAnsi" w:cstheme="minorBidi"/>
          <w:noProof/>
          <w:sz w:val="22"/>
          <w:szCs w:val="22"/>
        </w:rPr>
        <w:t xml:space="preserve">pp. 445-465. </w:t>
      </w:r>
      <w:r w:rsidR="00C15B4F" w:rsidRPr="00953847">
        <w:rPr>
          <w:rFonts w:asciiTheme="minorHAnsi" w:hAnsiTheme="minorHAnsi" w:cstheme="minorBidi"/>
          <w:noProof/>
          <w:sz w:val="22"/>
          <w:szCs w:val="22"/>
        </w:rPr>
        <w:t xml:space="preserve">DOI : 10.3406/bude.1974.3516 </w:t>
      </w:r>
      <w:hyperlink r:id="rId6" w:history="1">
        <w:r w:rsidRPr="00953847">
          <w:rPr>
            <w:rFonts w:asciiTheme="minorHAnsi" w:hAnsiTheme="minorHAnsi" w:cstheme="minorBidi"/>
            <w:noProof/>
            <w:sz w:val="22"/>
            <w:szCs w:val="22"/>
          </w:rPr>
          <w:t>www.persee.fr/doc/bude_1247-6862_1974_num_33_4_3516</w:t>
        </w:r>
      </w:hyperlink>
    </w:p>
    <w:p w:rsidR="00BA6618" w:rsidRPr="00953847" w:rsidRDefault="00BA6618" w:rsidP="00BA6618">
      <w:pPr>
        <w:pStyle w:val="NormalWeb"/>
        <w:numPr>
          <w:ilvl w:val="0"/>
          <w:numId w:val="4"/>
        </w:numPr>
        <w:rPr>
          <w:rFonts w:asciiTheme="minorHAnsi" w:hAnsiTheme="minorHAnsi" w:cstheme="minorBidi"/>
          <w:noProof/>
          <w:sz w:val="22"/>
          <w:szCs w:val="22"/>
        </w:rPr>
      </w:pPr>
      <w:r w:rsidRPr="00953847">
        <w:rPr>
          <w:rFonts w:asciiTheme="minorHAnsi" w:hAnsiTheme="minorHAnsi" w:cstheme="minorBidi"/>
          <w:noProof/>
          <w:sz w:val="22"/>
          <w:szCs w:val="22"/>
        </w:rPr>
        <w:t xml:space="preserve">James Hutton, </w:t>
      </w:r>
      <w:bookmarkStart w:id="1" w:name="citation"/>
      <w:r w:rsidRPr="00953847">
        <w:rPr>
          <w:rFonts w:asciiTheme="minorHAnsi" w:hAnsiTheme="minorHAnsi" w:cstheme="minorBidi"/>
          <w:noProof/>
          <w:sz w:val="22"/>
          <w:szCs w:val="22"/>
        </w:rPr>
        <w:t>‘Erasmus and France: The Propaganda for Peace</w:t>
      </w:r>
      <w:bookmarkEnd w:id="1"/>
      <w:r w:rsidRPr="00953847">
        <w:rPr>
          <w:rFonts w:asciiTheme="minorHAnsi" w:hAnsiTheme="minorHAnsi" w:cstheme="minorBidi"/>
          <w:noProof/>
          <w:sz w:val="22"/>
          <w:szCs w:val="22"/>
        </w:rPr>
        <w:t xml:space="preserve">’, </w:t>
      </w:r>
      <w:r w:rsidRPr="00953847">
        <w:rPr>
          <w:rFonts w:asciiTheme="minorHAnsi" w:hAnsiTheme="minorHAnsi" w:cstheme="minorBidi"/>
          <w:i/>
          <w:noProof/>
          <w:sz w:val="22"/>
          <w:szCs w:val="22"/>
        </w:rPr>
        <w:t>Studies in the Renaissance</w:t>
      </w:r>
      <w:r w:rsidRPr="00953847">
        <w:rPr>
          <w:rFonts w:asciiTheme="minorHAnsi" w:hAnsiTheme="minorHAnsi" w:cstheme="minorBidi"/>
          <w:noProof/>
          <w:sz w:val="22"/>
          <w:szCs w:val="22"/>
        </w:rPr>
        <w:t>, 8 (1961), pp. 103-127 (available via JSTOR).</w:t>
      </w:r>
    </w:p>
    <w:p w:rsidR="00C15B4F" w:rsidRPr="00953847" w:rsidRDefault="00C15B4F" w:rsidP="00C15B4F">
      <w:pPr>
        <w:pStyle w:val="NormalWeb"/>
        <w:numPr>
          <w:ilvl w:val="0"/>
          <w:numId w:val="4"/>
        </w:numPr>
        <w:rPr>
          <w:rFonts w:asciiTheme="minorHAnsi" w:hAnsiTheme="minorHAnsi" w:cstheme="minorBidi"/>
          <w:noProof/>
          <w:sz w:val="22"/>
          <w:szCs w:val="22"/>
        </w:rPr>
      </w:pPr>
      <w:r w:rsidRPr="00953847">
        <w:rPr>
          <w:rFonts w:asciiTheme="minorHAnsi" w:hAnsiTheme="minorHAnsi" w:cstheme="minorBidi"/>
          <w:noProof/>
          <w:sz w:val="22"/>
          <w:szCs w:val="22"/>
        </w:rPr>
        <w:t xml:space="preserve">François-Marcel Plaisant, ‘La guerre et la paix selon Rabelais’, </w:t>
      </w:r>
      <w:r w:rsidRPr="00953847">
        <w:rPr>
          <w:rFonts w:asciiTheme="minorHAnsi" w:hAnsiTheme="minorHAnsi" w:cstheme="minorBidi"/>
          <w:i/>
          <w:noProof/>
          <w:sz w:val="22"/>
          <w:szCs w:val="22"/>
        </w:rPr>
        <w:t>Bulletin de l'Associa</w:t>
      </w:r>
      <w:r w:rsidR="00BA6618" w:rsidRPr="00953847">
        <w:rPr>
          <w:rFonts w:asciiTheme="minorHAnsi" w:hAnsiTheme="minorHAnsi" w:cstheme="minorBidi"/>
          <w:i/>
          <w:noProof/>
          <w:sz w:val="22"/>
          <w:szCs w:val="22"/>
        </w:rPr>
        <w:t>tion Guillaume Budé : Lettres d’</w:t>
      </w:r>
      <w:r w:rsidRPr="00953847">
        <w:rPr>
          <w:rFonts w:asciiTheme="minorHAnsi" w:hAnsiTheme="minorHAnsi" w:cstheme="minorBidi"/>
          <w:i/>
          <w:noProof/>
          <w:sz w:val="22"/>
          <w:szCs w:val="22"/>
        </w:rPr>
        <w:t>humanité</w:t>
      </w:r>
      <w:r w:rsidRPr="00953847">
        <w:rPr>
          <w:rFonts w:asciiTheme="minorHAnsi" w:hAnsiTheme="minorHAnsi" w:cstheme="minorBidi"/>
          <w:noProof/>
          <w:sz w:val="22"/>
          <w:szCs w:val="22"/>
        </w:rPr>
        <w:t xml:space="preserve">, 33 (1974), pp. 467-492. DOI : 10.3406/bude.1974.3517 </w:t>
      </w:r>
      <w:r w:rsidRPr="00953847">
        <w:rPr>
          <w:rFonts w:asciiTheme="minorHAnsi" w:hAnsiTheme="minorHAnsi" w:cstheme="minorBidi"/>
          <w:noProof/>
          <w:sz w:val="22"/>
          <w:szCs w:val="22"/>
        </w:rPr>
        <w:t xml:space="preserve"> </w:t>
      </w:r>
      <w:hyperlink r:id="rId7" w:history="1">
        <w:r w:rsidRPr="00953847">
          <w:rPr>
            <w:rFonts w:asciiTheme="minorHAnsi" w:hAnsiTheme="minorHAnsi" w:cstheme="minorBidi"/>
            <w:noProof/>
            <w:sz w:val="22"/>
            <w:szCs w:val="22"/>
          </w:rPr>
          <w:t>www.persee.fr/doc/bude_1247-6862_1974_num_33_4_3517</w:t>
        </w:r>
      </w:hyperlink>
      <w:r w:rsidRPr="00953847">
        <w:rPr>
          <w:rFonts w:asciiTheme="minorHAnsi" w:hAnsiTheme="minorHAnsi" w:cstheme="minorBidi"/>
          <w:noProof/>
          <w:sz w:val="22"/>
          <w:szCs w:val="22"/>
        </w:rPr>
        <w:t xml:space="preserve"> </w:t>
      </w:r>
    </w:p>
    <w:p w:rsidR="00BA6618" w:rsidRPr="00953847" w:rsidRDefault="00BA6618" w:rsidP="00953847">
      <w:pPr>
        <w:pStyle w:val="ListParagraph"/>
        <w:numPr>
          <w:ilvl w:val="0"/>
          <w:numId w:val="4"/>
        </w:numPr>
        <w:rPr>
          <w:sz w:val="22"/>
          <w:szCs w:val="22"/>
        </w:rPr>
      </w:pPr>
      <w:r w:rsidRPr="00953847">
        <w:rPr>
          <w:sz w:val="22"/>
          <w:szCs w:val="22"/>
        </w:rPr>
        <w:t xml:space="preserve">Nathan Ron, ‘The Christian Peace of Erasmus’, </w:t>
      </w:r>
      <w:r w:rsidRPr="00953847">
        <w:rPr>
          <w:i/>
          <w:sz w:val="22"/>
          <w:szCs w:val="22"/>
        </w:rPr>
        <w:t>The European Legacy</w:t>
      </w:r>
      <w:r w:rsidRPr="00953847">
        <w:rPr>
          <w:sz w:val="22"/>
          <w:szCs w:val="22"/>
        </w:rPr>
        <w:t>, 19:1 (2014), 27-42, DOI: 10.1080/10848770.2013.859793 (</w:t>
      </w:r>
      <w:hyperlink r:id="rId8" w:history="1">
        <w:r w:rsidR="00953847" w:rsidRPr="00953847">
          <w:rPr>
            <w:rStyle w:val="Hyperlink"/>
            <w:sz w:val="22"/>
            <w:szCs w:val="22"/>
          </w:rPr>
          <w:t>http://dx.doi.org/10.1080/10848770.2013.859793</w:t>
        </w:r>
      </w:hyperlink>
      <w:r w:rsidRPr="00953847">
        <w:rPr>
          <w:sz w:val="22"/>
          <w:szCs w:val="22"/>
        </w:rPr>
        <w:t>)</w:t>
      </w:r>
    </w:p>
    <w:p w:rsidR="00953847" w:rsidRPr="00953847" w:rsidRDefault="00953847" w:rsidP="00953847">
      <w:pPr>
        <w:pStyle w:val="ListParagraph"/>
        <w:numPr>
          <w:ilvl w:val="0"/>
          <w:numId w:val="4"/>
        </w:numPr>
        <w:rPr>
          <w:sz w:val="22"/>
          <w:szCs w:val="22"/>
        </w:rPr>
      </w:pPr>
      <w:r w:rsidRPr="00953847">
        <w:rPr>
          <w:sz w:val="22"/>
          <w:szCs w:val="22"/>
        </w:rPr>
        <w:t>Find one or two very recent critical studies (articles / books) about Erasmus or Rabelais and the notions of war and peace. How has critical attention shifted in the past few decades?</w:t>
      </w:r>
    </w:p>
    <w:sectPr w:rsidR="00953847" w:rsidRPr="00953847" w:rsidSect="00953847">
      <w:pgSz w:w="11900" w:h="16840"/>
      <w:pgMar w:top="1440" w:right="1080" w:bottom="1440" w:left="108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741D89"/>
    <w:multiLevelType w:val="hybridMultilevel"/>
    <w:tmpl w:val="A15E1B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3FA15A4"/>
    <w:multiLevelType w:val="hybridMultilevel"/>
    <w:tmpl w:val="33129766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190A3EA4"/>
    <w:multiLevelType w:val="hybridMultilevel"/>
    <w:tmpl w:val="B914E59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E887969"/>
    <w:multiLevelType w:val="hybridMultilevel"/>
    <w:tmpl w:val="107222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7FF1D9D"/>
    <w:multiLevelType w:val="hybridMultilevel"/>
    <w:tmpl w:val="82CC2DE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7206110B"/>
    <w:multiLevelType w:val="hybridMultilevel"/>
    <w:tmpl w:val="078E0F9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3D62019"/>
    <w:multiLevelType w:val="hybridMultilevel"/>
    <w:tmpl w:val="22EAE06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6"/>
  </w:num>
  <w:num w:numId="5">
    <w:abstractNumId w:val="2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0AF3"/>
    <w:rsid w:val="0004427E"/>
    <w:rsid w:val="001014D9"/>
    <w:rsid w:val="002D0AF3"/>
    <w:rsid w:val="003E0809"/>
    <w:rsid w:val="0040530C"/>
    <w:rsid w:val="005B17B8"/>
    <w:rsid w:val="006B150C"/>
    <w:rsid w:val="00874767"/>
    <w:rsid w:val="00953847"/>
    <w:rsid w:val="00AD391F"/>
    <w:rsid w:val="00B86160"/>
    <w:rsid w:val="00BA6618"/>
    <w:rsid w:val="00C15B4F"/>
    <w:rsid w:val="00F050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1EAC1F64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noProof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basedOn w:val="Normal"/>
    <w:link w:val="FootnoteTextChar"/>
    <w:rsid w:val="006B150C"/>
    <w:pPr>
      <w:ind w:firstLine="284"/>
      <w:jc w:val="both"/>
    </w:pPr>
    <w:rPr>
      <w:rFonts w:ascii="Times New Roman" w:eastAsia="Times New Roman" w:hAnsi="Times New Roman" w:cs="Times New Roman"/>
      <w:sz w:val="20"/>
      <w:szCs w:val="20"/>
      <w:lang w:eastAsia="nl-NL"/>
    </w:rPr>
  </w:style>
  <w:style w:type="character" w:customStyle="1" w:styleId="FootnoteTextChar">
    <w:name w:val="Footnote Text Char"/>
    <w:basedOn w:val="DefaultParagraphFont"/>
    <w:link w:val="FootnoteText"/>
    <w:rsid w:val="006B150C"/>
    <w:rPr>
      <w:rFonts w:ascii="Times New Roman" w:eastAsia="Times New Roman" w:hAnsi="Times New Roman" w:cs="Times New Roman"/>
      <w:sz w:val="20"/>
      <w:szCs w:val="20"/>
      <w:lang w:val="fr-FR" w:eastAsia="nl-NL"/>
    </w:rPr>
  </w:style>
  <w:style w:type="paragraph" w:styleId="ListParagraph">
    <w:name w:val="List Paragraph"/>
    <w:basedOn w:val="Normal"/>
    <w:uiPriority w:val="34"/>
    <w:qFormat/>
    <w:rsid w:val="002D0AF3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04427E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40530C"/>
    <w:pPr>
      <w:spacing w:before="100" w:beforeAutospacing="1" w:after="100" w:afterAutospacing="1"/>
    </w:pPr>
    <w:rPr>
      <w:rFonts w:ascii="Times" w:hAnsi="Times" w:cs="Times New Roman"/>
      <w:noProof w:val="0"/>
      <w:sz w:val="20"/>
      <w:szCs w:val="20"/>
    </w:rPr>
  </w:style>
  <w:style w:type="paragraph" w:customStyle="1" w:styleId="doi">
    <w:name w:val="doi"/>
    <w:basedOn w:val="Normal"/>
    <w:rsid w:val="0040530C"/>
    <w:pPr>
      <w:spacing w:before="100" w:beforeAutospacing="1" w:after="100" w:afterAutospacing="1"/>
    </w:pPr>
    <w:rPr>
      <w:rFonts w:ascii="Times" w:hAnsi="Times"/>
      <w:noProof w:val="0"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C15B4F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noProof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basedOn w:val="Normal"/>
    <w:link w:val="FootnoteTextChar"/>
    <w:rsid w:val="006B150C"/>
    <w:pPr>
      <w:ind w:firstLine="284"/>
      <w:jc w:val="both"/>
    </w:pPr>
    <w:rPr>
      <w:rFonts w:ascii="Times New Roman" w:eastAsia="Times New Roman" w:hAnsi="Times New Roman" w:cs="Times New Roman"/>
      <w:sz w:val="20"/>
      <w:szCs w:val="20"/>
      <w:lang w:eastAsia="nl-NL"/>
    </w:rPr>
  </w:style>
  <w:style w:type="character" w:customStyle="1" w:styleId="FootnoteTextChar">
    <w:name w:val="Footnote Text Char"/>
    <w:basedOn w:val="DefaultParagraphFont"/>
    <w:link w:val="FootnoteText"/>
    <w:rsid w:val="006B150C"/>
    <w:rPr>
      <w:rFonts w:ascii="Times New Roman" w:eastAsia="Times New Roman" w:hAnsi="Times New Roman" w:cs="Times New Roman"/>
      <w:sz w:val="20"/>
      <w:szCs w:val="20"/>
      <w:lang w:val="fr-FR" w:eastAsia="nl-NL"/>
    </w:rPr>
  </w:style>
  <w:style w:type="paragraph" w:styleId="ListParagraph">
    <w:name w:val="List Paragraph"/>
    <w:basedOn w:val="Normal"/>
    <w:uiPriority w:val="34"/>
    <w:qFormat/>
    <w:rsid w:val="002D0AF3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04427E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40530C"/>
    <w:pPr>
      <w:spacing w:before="100" w:beforeAutospacing="1" w:after="100" w:afterAutospacing="1"/>
    </w:pPr>
    <w:rPr>
      <w:rFonts w:ascii="Times" w:hAnsi="Times" w:cs="Times New Roman"/>
      <w:noProof w:val="0"/>
      <w:sz w:val="20"/>
      <w:szCs w:val="20"/>
    </w:rPr>
  </w:style>
  <w:style w:type="paragraph" w:customStyle="1" w:styleId="doi">
    <w:name w:val="doi"/>
    <w:basedOn w:val="Normal"/>
    <w:rsid w:val="0040530C"/>
    <w:pPr>
      <w:spacing w:before="100" w:beforeAutospacing="1" w:after="100" w:afterAutospacing="1"/>
    </w:pPr>
    <w:rPr>
      <w:rFonts w:ascii="Times" w:hAnsi="Times"/>
      <w:noProof w:val="0"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C15B4F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4713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1441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281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8182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5765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308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1933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46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16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hyperlink" Target="http://www.persee.fr/doc/bude_1247-6862_1974_num_33_4_3516" TargetMode="External"/><Relationship Id="rId7" Type="http://schemas.openxmlformats.org/officeDocument/2006/relationships/hyperlink" Target="http://www.persee.fr/doc/bude_1247-6862_1974_num_33_4_3517" TargetMode="External"/><Relationship Id="rId8" Type="http://schemas.openxmlformats.org/officeDocument/2006/relationships/hyperlink" Target="http://dx.doi.org/10.1080/10848770.2013.859793" TargetMode="External"/><Relationship Id="rId9" Type="http://schemas.openxmlformats.org/officeDocument/2006/relationships/fontTable" Target="fontTable.xml"/><Relationship Id="rId10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</TotalTime>
  <Pages>1</Pages>
  <Words>459</Words>
  <Characters>2622</Characters>
  <Application>Microsoft Macintosh Word</Application>
  <DocSecurity>0</DocSecurity>
  <Lines>21</Lines>
  <Paragraphs>6</Paragraphs>
  <ScaleCrop>false</ScaleCrop>
  <Company>University of Warwick</Company>
  <LinksUpToDate>false</LinksUpToDate>
  <CharactersWithSpaces>3075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INGRID DE SMET</dc:creator>
  <cp:keywords/>
  <dc:description/>
  <cp:lastModifiedBy>INGRID DE SMET</cp:lastModifiedBy>
  <cp:revision>1</cp:revision>
  <dcterms:created xsi:type="dcterms:W3CDTF">2015-10-14T20:29:00Z</dcterms:created>
  <dcterms:modified xsi:type="dcterms:W3CDTF">2015-10-14T22:45:00Z</dcterms:modified>
</cp:coreProperties>
</file>