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3D856E" w14:textId="77777777" w:rsidR="00A53268" w:rsidRPr="00A53268" w:rsidRDefault="00A53268" w:rsidP="00226DD1">
      <w:pPr>
        <w:rPr>
          <w:b/>
          <w:sz w:val="36"/>
          <w:szCs w:val="36"/>
        </w:rPr>
      </w:pPr>
      <w:bookmarkStart w:id="0" w:name="_GoBack"/>
      <w:bookmarkEnd w:id="0"/>
      <w:r w:rsidRPr="00A53268">
        <w:rPr>
          <w:b/>
          <w:sz w:val="36"/>
          <w:szCs w:val="36"/>
        </w:rPr>
        <w:t xml:space="preserve">GE2017 – German Culture in the Age of Revolution, </w:t>
      </w:r>
    </w:p>
    <w:p w14:paraId="6334A8D2" w14:textId="77777777" w:rsidR="00A53268" w:rsidRPr="00A53268" w:rsidRDefault="00A53268" w:rsidP="00A53268">
      <w:pPr>
        <w:jc w:val="center"/>
        <w:rPr>
          <w:b/>
          <w:sz w:val="36"/>
          <w:szCs w:val="36"/>
        </w:rPr>
      </w:pPr>
      <w:r w:rsidRPr="00A53268">
        <w:rPr>
          <w:b/>
          <w:sz w:val="36"/>
          <w:szCs w:val="36"/>
        </w:rPr>
        <w:t>1789-1848</w:t>
      </w:r>
    </w:p>
    <w:p w14:paraId="763D74A6" w14:textId="77777777" w:rsidR="00A53268" w:rsidRPr="00A53268" w:rsidRDefault="00A53268" w:rsidP="00A53268">
      <w:pPr>
        <w:jc w:val="center"/>
        <w:rPr>
          <w:b/>
          <w:sz w:val="36"/>
          <w:szCs w:val="36"/>
        </w:rPr>
      </w:pPr>
    </w:p>
    <w:p w14:paraId="2EB107E1" w14:textId="77777777" w:rsidR="00A53268" w:rsidRDefault="00A53268" w:rsidP="00A53268">
      <w:pPr>
        <w:jc w:val="center"/>
        <w:rPr>
          <w:b/>
          <w:sz w:val="36"/>
          <w:szCs w:val="36"/>
        </w:rPr>
      </w:pPr>
      <w:r w:rsidRPr="00A53268">
        <w:rPr>
          <w:b/>
          <w:sz w:val="36"/>
          <w:szCs w:val="36"/>
        </w:rPr>
        <w:t>Seminar worksheets, term 1</w:t>
      </w:r>
    </w:p>
    <w:p w14:paraId="58881B14" w14:textId="77777777" w:rsidR="00A53268" w:rsidRDefault="00A53268">
      <w:pPr>
        <w:spacing w:line="240" w:lineRule="auto"/>
        <w:rPr>
          <w:b/>
          <w:sz w:val="36"/>
          <w:szCs w:val="36"/>
        </w:rPr>
      </w:pPr>
      <w:r>
        <w:rPr>
          <w:b/>
          <w:sz w:val="36"/>
          <w:szCs w:val="36"/>
        </w:rPr>
        <w:br w:type="page"/>
      </w:r>
    </w:p>
    <w:p w14:paraId="7883AE05" w14:textId="77777777" w:rsidR="00A53268" w:rsidRDefault="00A53268" w:rsidP="00A53268">
      <w:pPr>
        <w:pStyle w:val="Title"/>
      </w:pPr>
      <w:r>
        <w:lastRenderedPageBreak/>
        <w:t>German Culture in the Age of Revolution, 1789-1848</w:t>
      </w:r>
    </w:p>
    <w:p w14:paraId="6EB7FB43" w14:textId="77777777" w:rsidR="00A53268" w:rsidRDefault="00A53268" w:rsidP="00A53268">
      <w:pPr>
        <w:jc w:val="center"/>
        <w:rPr>
          <w:b/>
        </w:rPr>
      </w:pPr>
    </w:p>
    <w:p w14:paraId="232F2683" w14:textId="77777777" w:rsidR="00A53268" w:rsidRDefault="00A53268" w:rsidP="00A53268">
      <w:pPr>
        <w:jc w:val="center"/>
        <w:rPr>
          <w:b/>
        </w:rPr>
      </w:pPr>
      <w:r>
        <w:rPr>
          <w:b/>
        </w:rPr>
        <w:t>Seminar Term 1 Week 2:</w:t>
      </w:r>
    </w:p>
    <w:p w14:paraId="62E53C17" w14:textId="77777777" w:rsidR="00A53268" w:rsidRPr="00DF278F" w:rsidRDefault="00A53268" w:rsidP="00A53268">
      <w:pPr>
        <w:jc w:val="center"/>
        <w:rPr>
          <w:lang w:val="de-DE"/>
        </w:rPr>
      </w:pPr>
      <w:r w:rsidRPr="00DF278F">
        <w:rPr>
          <w:lang w:val="de-DE"/>
        </w:rPr>
        <w:t>Immanuel Kant, ‘Beantwortung der Frage: Was ist Aufklärung?’</w:t>
      </w:r>
    </w:p>
    <w:p w14:paraId="0F3F29A8" w14:textId="77777777" w:rsidR="00A53268" w:rsidRDefault="00A53268" w:rsidP="00A53268">
      <w:pPr>
        <w:jc w:val="center"/>
        <w:rPr>
          <w:b/>
        </w:rPr>
      </w:pPr>
      <w:r>
        <w:t xml:space="preserve">(First published in the </w:t>
      </w:r>
      <w:r>
        <w:rPr>
          <w:i/>
        </w:rPr>
        <w:t>Berliner Monatsschrift</w:t>
      </w:r>
      <w:r>
        <w:t>, December 1784)</w:t>
      </w:r>
    </w:p>
    <w:p w14:paraId="052DC9B5" w14:textId="77777777" w:rsidR="00A53268" w:rsidRDefault="00A53268" w:rsidP="00A53268">
      <w:pPr>
        <w:jc w:val="both"/>
      </w:pPr>
    </w:p>
    <w:p w14:paraId="489FD6A8" w14:textId="77777777" w:rsidR="00A53268" w:rsidRPr="00C93CB1" w:rsidRDefault="00A53268" w:rsidP="00C93CB1">
      <w:pPr>
        <w:pStyle w:val="Heading1"/>
        <w:numPr>
          <w:ilvl w:val="0"/>
          <w:numId w:val="0"/>
        </w:numPr>
        <w:jc w:val="both"/>
        <w:rPr>
          <w:sz w:val="24"/>
          <w:szCs w:val="24"/>
          <w:u w:val="single"/>
        </w:rPr>
      </w:pPr>
      <w:r w:rsidRPr="00C93CB1">
        <w:rPr>
          <w:sz w:val="24"/>
          <w:szCs w:val="24"/>
          <w:u w:val="single"/>
        </w:rPr>
        <w:t>Seminars</w:t>
      </w:r>
    </w:p>
    <w:p w14:paraId="36FAC3D2" w14:textId="77777777" w:rsidR="00A53268" w:rsidRPr="006F4139" w:rsidRDefault="00A53268" w:rsidP="00A53268"/>
    <w:p w14:paraId="4D37327E" w14:textId="77777777" w:rsidR="00A53268" w:rsidRDefault="00A53268" w:rsidP="00A53268">
      <w:pPr>
        <w:jc w:val="both"/>
        <w:rPr>
          <w:b/>
        </w:rPr>
      </w:pPr>
      <w:r>
        <w:t xml:space="preserve">The </w:t>
      </w:r>
      <w:r>
        <w:rPr>
          <w:b/>
        </w:rPr>
        <w:t>aim</w:t>
      </w:r>
      <w:r>
        <w:t xml:space="preserve"> of the seminar discussions is to </w:t>
      </w:r>
      <w:r>
        <w:rPr>
          <w:b/>
        </w:rPr>
        <w:t>promote your understanding of the set text by focusing on issues of textual interpretation/understanding.</w:t>
      </w:r>
    </w:p>
    <w:p w14:paraId="5998F87E" w14:textId="77777777" w:rsidR="00A53268" w:rsidRDefault="00A53268" w:rsidP="00A53268">
      <w:pPr>
        <w:jc w:val="both"/>
      </w:pPr>
    </w:p>
    <w:p w14:paraId="5C81E91E" w14:textId="77777777" w:rsidR="00A53268" w:rsidRDefault="00A53268" w:rsidP="00A53268">
      <w:pPr>
        <w:jc w:val="both"/>
      </w:pPr>
      <w:r>
        <w:t xml:space="preserve">You should also think of the seminar sessions as intended to provide you with training in </w:t>
      </w:r>
      <w:r>
        <w:rPr>
          <w:b/>
        </w:rPr>
        <w:t>transferable skills</w:t>
      </w:r>
      <w:r>
        <w:t>, such as the ability:</w:t>
      </w:r>
    </w:p>
    <w:p w14:paraId="7ED8FA96" w14:textId="77777777" w:rsidR="00A53268" w:rsidRDefault="00A53268" w:rsidP="00A53268">
      <w:pPr>
        <w:numPr>
          <w:ilvl w:val="0"/>
          <w:numId w:val="5"/>
        </w:numPr>
        <w:spacing w:line="240" w:lineRule="auto"/>
        <w:jc w:val="both"/>
      </w:pPr>
      <w:r>
        <w:t>to express your views and textual interpretations orally</w:t>
      </w:r>
    </w:p>
    <w:p w14:paraId="651252C3" w14:textId="77777777" w:rsidR="00A53268" w:rsidRDefault="00A53268" w:rsidP="00A53268">
      <w:pPr>
        <w:numPr>
          <w:ilvl w:val="0"/>
          <w:numId w:val="5"/>
        </w:numPr>
        <w:spacing w:line="240" w:lineRule="auto"/>
        <w:jc w:val="both"/>
      </w:pPr>
      <w:r>
        <w:t>succinctly to summarise the contents of a text and/or to present the substance of a workgroup discussion to the plenary</w:t>
      </w:r>
    </w:p>
    <w:p w14:paraId="0AFDEFDD" w14:textId="77777777" w:rsidR="00A53268" w:rsidRDefault="00A53268" w:rsidP="00A53268">
      <w:pPr>
        <w:numPr>
          <w:ilvl w:val="0"/>
          <w:numId w:val="5"/>
        </w:numPr>
        <w:spacing w:line="240" w:lineRule="auto"/>
        <w:jc w:val="both"/>
      </w:pPr>
      <w:r>
        <w:t>to construct arguments in defence of your views in the course of plenary discussion.</w:t>
      </w:r>
    </w:p>
    <w:p w14:paraId="4AE7AFC6" w14:textId="77777777" w:rsidR="00A53268" w:rsidRDefault="00A53268" w:rsidP="00A53268">
      <w:pPr>
        <w:jc w:val="both"/>
      </w:pPr>
    </w:p>
    <w:p w14:paraId="354F2B80" w14:textId="77777777" w:rsidR="00A53268" w:rsidRDefault="00A53268" w:rsidP="00A53268">
      <w:pPr>
        <w:jc w:val="both"/>
      </w:pPr>
      <w:r>
        <w:t xml:space="preserve">You will be organised into </w:t>
      </w:r>
      <w:r>
        <w:rPr>
          <w:b/>
        </w:rPr>
        <w:t xml:space="preserve">small workgroups. </w:t>
      </w:r>
      <w:r>
        <w:t xml:space="preserve">Each group will be given </w:t>
      </w:r>
      <w:r>
        <w:rPr>
          <w:b/>
        </w:rPr>
        <w:t xml:space="preserve">tasks for preparation before the seminar and discussion within the group </w:t>
      </w:r>
      <w:r>
        <w:t xml:space="preserve">each week. These tasks will be provided on a seminar worksheet. There will be time set aside for group discussion at the beginning of each seminar (ca. 30 mins). This will be followed by a </w:t>
      </w:r>
      <w:r>
        <w:rPr>
          <w:b/>
        </w:rPr>
        <w:t xml:space="preserve">plenary discussion </w:t>
      </w:r>
      <w:r>
        <w:t>during which each group will report on its findings.</w:t>
      </w:r>
    </w:p>
    <w:p w14:paraId="3944AEE8" w14:textId="77777777" w:rsidR="00A53268" w:rsidRDefault="00A53268" w:rsidP="00A53268">
      <w:pPr>
        <w:jc w:val="both"/>
      </w:pPr>
    </w:p>
    <w:p w14:paraId="1AF6D938" w14:textId="77777777" w:rsidR="00A53268" w:rsidRDefault="00A53268" w:rsidP="00A53268">
      <w:pPr>
        <w:jc w:val="both"/>
      </w:pPr>
      <w:r>
        <w:t xml:space="preserve">The more you put in, the more you get out, so backing up your discussions and presentations with </w:t>
      </w:r>
      <w:r>
        <w:rPr>
          <w:b/>
        </w:rPr>
        <w:t xml:space="preserve">reading around the topic before the seminar </w:t>
      </w:r>
      <w:r>
        <w:t xml:space="preserve">can only increase the quality of your work. If you wish to recommend books or articles to the plenary that you have found useful, please remember to make a note of the publication details (full author name and title, plus place and date of publication for a book; full author name, title of article, title of journal or edited collection in which it is located, and </w:t>
      </w:r>
      <w:r>
        <w:rPr>
          <w:i/>
        </w:rPr>
        <w:t xml:space="preserve">the full page span </w:t>
      </w:r>
      <w:r>
        <w:t>for an article).</w:t>
      </w:r>
    </w:p>
    <w:p w14:paraId="0AF7F225" w14:textId="77777777" w:rsidR="00A53268" w:rsidRDefault="00A53268" w:rsidP="00A53268">
      <w:pPr>
        <w:jc w:val="both"/>
      </w:pPr>
    </w:p>
    <w:p w14:paraId="65111CC7" w14:textId="77777777" w:rsidR="00A53268" w:rsidRDefault="00A53268" w:rsidP="00A53268">
      <w:pPr>
        <w:jc w:val="both"/>
      </w:pPr>
      <w:r>
        <w:rPr>
          <w:b/>
        </w:rPr>
        <w:t xml:space="preserve">Please give some thought to how best to convey information and observations on the text to the larger group of your fellow students. </w:t>
      </w:r>
      <w:r>
        <w:t xml:space="preserve">You may have just spent thirty minutes looking closely at a passage of text in your group, but the other members of the plenary will have been looking at a different passage or aspect, so you will need to draw their attention to the details important to your theme. It is often very useful to read out (short!) key quotes to illustrate your point so that everybody knows which passages you are referring to. Be ready, when quoting, to give page numbers in the editions of the texts you are using. You may wish to </w:t>
      </w:r>
      <w:r>
        <w:rPr>
          <w:b/>
        </w:rPr>
        <w:t xml:space="preserve">nominate one member of your workgroup to report your discussions </w:t>
      </w:r>
      <w:r>
        <w:t xml:space="preserve">to the plenary (in which case, it is fair to rotate the task, so that not the same person does it each week and everyone in the group gets some practice at presentation), or you may wish to </w:t>
      </w:r>
      <w:r>
        <w:rPr>
          <w:b/>
        </w:rPr>
        <w:t xml:space="preserve">divide the task of presentation among different members of your workgroup </w:t>
      </w:r>
      <w:r>
        <w:t>(in which case you should be clear about different responsibilities).</w:t>
      </w:r>
    </w:p>
    <w:p w14:paraId="5C89E5FE" w14:textId="77777777" w:rsidR="00A53268" w:rsidRDefault="00A53268" w:rsidP="00A53268">
      <w:pPr>
        <w:jc w:val="both"/>
      </w:pPr>
    </w:p>
    <w:p w14:paraId="31492A19" w14:textId="77777777" w:rsidR="00A53268" w:rsidRDefault="00A53268" w:rsidP="00A53268">
      <w:pPr>
        <w:jc w:val="both"/>
      </w:pPr>
      <w:r>
        <w:t xml:space="preserve">If you have prepared material before the seminar and wish to use </w:t>
      </w:r>
      <w:r>
        <w:rPr>
          <w:b/>
        </w:rPr>
        <w:t xml:space="preserve">handouts or OHP transparencies </w:t>
      </w:r>
      <w:r>
        <w:t xml:space="preserve">to aid your group presentation, this is all to the good, and I am happy to make copies of handouts for everyone in the seminar. A single copy should be handed to me 15 minutes prior to the beginning of the seminar </w:t>
      </w:r>
      <w:r>
        <w:rPr>
          <w:u w:val="single"/>
        </w:rPr>
        <w:t>at the latest</w:t>
      </w:r>
      <w:r w:rsidRPr="008B2CE0">
        <w:t xml:space="preserve"> (and in that case: please let me know in advance)</w:t>
      </w:r>
      <w:r>
        <w:t>, if possible the day before, so that I can copy it for the seminar.</w:t>
      </w:r>
    </w:p>
    <w:p w14:paraId="5EE0DF57" w14:textId="77777777" w:rsidR="00A53268" w:rsidRPr="00DF278F" w:rsidRDefault="00A53268" w:rsidP="00A53268">
      <w:pPr>
        <w:jc w:val="center"/>
        <w:rPr>
          <w:b/>
          <w:lang w:val="de-DE"/>
        </w:rPr>
      </w:pPr>
      <w:r w:rsidRPr="00DF278F">
        <w:rPr>
          <w:b/>
        </w:rPr>
        <w:br w:type="page"/>
      </w:r>
      <w:r w:rsidRPr="00DF278F">
        <w:rPr>
          <w:b/>
          <w:lang w:val="de-DE"/>
        </w:rPr>
        <w:t>Immanuel Kant, ‘Beantwortung der Frage: Was ist Aufklärung?’</w:t>
      </w:r>
    </w:p>
    <w:p w14:paraId="73E4F9C6" w14:textId="77777777" w:rsidR="00A53268" w:rsidRDefault="00A53268" w:rsidP="00A53268">
      <w:pPr>
        <w:jc w:val="center"/>
      </w:pPr>
      <w:r>
        <w:t>Page numbers given below refer to the Reclam edition.</w:t>
      </w:r>
    </w:p>
    <w:p w14:paraId="324F13B9" w14:textId="77777777" w:rsidR="00A53268" w:rsidRDefault="00A53268" w:rsidP="00A53268"/>
    <w:p w14:paraId="1EB45E2D" w14:textId="77777777" w:rsidR="00A53268" w:rsidRDefault="00A53268" w:rsidP="00A53268">
      <w:pPr>
        <w:pStyle w:val="ListBullet"/>
        <w:numPr>
          <w:ilvl w:val="0"/>
          <w:numId w:val="0"/>
        </w:numPr>
        <w:rPr>
          <w:b/>
        </w:rPr>
      </w:pPr>
      <w:r>
        <w:rPr>
          <w:b/>
          <w:u w:val="single"/>
        </w:rPr>
        <w:t>Group 1</w:t>
      </w:r>
      <w:r>
        <w:rPr>
          <w:b/>
        </w:rPr>
        <w:t>:</w:t>
      </w:r>
    </w:p>
    <w:p w14:paraId="088DA025" w14:textId="77777777" w:rsidR="00A53268" w:rsidRDefault="00A53268" w:rsidP="00A53268">
      <w:pPr>
        <w:pStyle w:val="ListBullet"/>
        <w:numPr>
          <w:ilvl w:val="0"/>
          <w:numId w:val="0"/>
        </w:numPr>
        <w:rPr>
          <w:u w:val="single"/>
        </w:rPr>
      </w:pPr>
    </w:p>
    <w:p w14:paraId="3C455CF8" w14:textId="77777777" w:rsidR="00A53268" w:rsidRPr="00DF278F" w:rsidRDefault="00A53268" w:rsidP="00A53268">
      <w:pPr>
        <w:pStyle w:val="ListBullet"/>
        <w:numPr>
          <w:ilvl w:val="0"/>
          <w:numId w:val="0"/>
        </w:numPr>
        <w:rPr>
          <w:lang w:val="de-DE"/>
        </w:rPr>
      </w:pPr>
      <w:r>
        <w:t>Focus on the (very famous) opening of the essay: from ‘</w:t>
      </w:r>
      <w:r>
        <w:rPr>
          <w:i/>
        </w:rPr>
        <w:t>Aufklärung ist der Ausgang…</w:t>
      </w:r>
      <w:r>
        <w:t xml:space="preserve">’ </w:t>
      </w:r>
      <w:r w:rsidRPr="00DF278F">
        <w:rPr>
          <w:lang w:val="de-DE"/>
        </w:rPr>
        <w:t>(p.9) to ‘Leitbande des gedankenlosen großen Haufens dienen’ (top p.11).</w:t>
      </w:r>
    </w:p>
    <w:p w14:paraId="4C0C7268" w14:textId="77777777" w:rsidR="00A53268" w:rsidRPr="00DF278F" w:rsidRDefault="00A53268" w:rsidP="00A53268">
      <w:pPr>
        <w:pStyle w:val="ListBullet"/>
        <w:numPr>
          <w:ilvl w:val="0"/>
          <w:numId w:val="0"/>
        </w:numPr>
        <w:rPr>
          <w:lang w:val="de-DE"/>
        </w:rPr>
      </w:pPr>
    </w:p>
    <w:p w14:paraId="148DD13B" w14:textId="77777777" w:rsidR="00A53268" w:rsidRDefault="00A53268" w:rsidP="00A53268">
      <w:pPr>
        <w:pStyle w:val="ListBullet"/>
        <w:numPr>
          <w:ilvl w:val="0"/>
          <w:numId w:val="0"/>
        </w:numPr>
      </w:pPr>
      <w:r>
        <w:t>Important terms here are ‘Unmündigkeit’, ‘Mündigkeit’ and ‘Vormünder’ (plural of ‘Vormund’): look these up in a dictionary or even several different dictionaries (including a monolingual one) before the seminar and try to clarify exactly what they mean. Compare your findings in your group. Is there an adequate English translation?</w:t>
      </w:r>
    </w:p>
    <w:p w14:paraId="1FA088EC" w14:textId="77777777" w:rsidR="00A53268" w:rsidRDefault="00A53268" w:rsidP="00A53268">
      <w:pPr>
        <w:pStyle w:val="ListBullet"/>
        <w:numPr>
          <w:ilvl w:val="0"/>
          <w:numId w:val="0"/>
        </w:numPr>
      </w:pPr>
    </w:p>
    <w:p w14:paraId="6CB179F5" w14:textId="77777777" w:rsidR="00A53268" w:rsidRDefault="00A53268" w:rsidP="00A53268">
      <w:pPr>
        <w:pStyle w:val="ListBullet"/>
        <w:numPr>
          <w:ilvl w:val="0"/>
          <w:numId w:val="0"/>
        </w:numPr>
      </w:pPr>
      <w:r>
        <w:t>What is the characteristic of someone who is ‘mündig’, in Kant’s estimation? Why do so many people choose to remain ‘unmündig’? – list as many reasons as you can find! What does Kant say about women (‘das schöne Geschlecht’ = the fair sex)?</w:t>
      </w:r>
    </w:p>
    <w:p w14:paraId="6FA09CFE" w14:textId="77777777" w:rsidR="00A53268" w:rsidRDefault="00A53268" w:rsidP="00A53268">
      <w:pPr>
        <w:pStyle w:val="ListBullet"/>
        <w:numPr>
          <w:ilvl w:val="0"/>
          <w:numId w:val="0"/>
        </w:numPr>
      </w:pPr>
    </w:p>
    <w:p w14:paraId="7FB3B92D" w14:textId="77777777" w:rsidR="00A53268" w:rsidRDefault="00A53268" w:rsidP="00A53268">
      <w:pPr>
        <w:pStyle w:val="ListBullet"/>
        <w:numPr>
          <w:ilvl w:val="0"/>
          <w:numId w:val="0"/>
        </w:numPr>
      </w:pPr>
      <w:r>
        <w:t xml:space="preserve">What does Kant’s use of the terms ‘mündig’, ‘unmündig’ and ‘Vormünder’ suggest about the way he sees power relations in his contemporary society? Comment also on the </w:t>
      </w:r>
      <w:r>
        <w:rPr>
          <w:b/>
        </w:rPr>
        <w:t xml:space="preserve">images </w:t>
      </w:r>
      <w:r>
        <w:t xml:space="preserve">he uses to describe the behaviour of the ‘Vormünder’: e.g. the passage on the ‘Hausvieh’ and the ‘Gängelwagen’ (p.9); and the passage (top p.10): ‘Satzungen und Formeln, diese </w:t>
      </w:r>
      <w:r>
        <w:rPr>
          <w:i/>
        </w:rPr>
        <w:t xml:space="preserve">mechanischen </w:t>
      </w:r>
      <w:r>
        <w:t xml:space="preserve">Werkzeuge eines vernünftigen Gebrauchs oder vielmehr Mißbrauchs seiner Naturgaben, sind die </w:t>
      </w:r>
      <w:r>
        <w:rPr>
          <w:i/>
        </w:rPr>
        <w:t xml:space="preserve">Fußschellen </w:t>
      </w:r>
      <w:r>
        <w:t xml:space="preserve">einer immerwährenden Unmündigkeit’ (what do you think he means by ‘Satzungen und Formeln’? what are ‘Fußschellen’? why do you think Kant uses the adjective ‘mechanisch’?) </w:t>
      </w:r>
    </w:p>
    <w:p w14:paraId="2CD3EBC2" w14:textId="77777777" w:rsidR="00A53268" w:rsidRDefault="00A53268" w:rsidP="00A53268">
      <w:pPr>
        <w:pStyle w:val="ListBullet"/>
        <w:numPr>
          <w:ilvl w:val="0"/>
          <w:numId w:val="0"/>
        </w:numPr>
      </w:pPr>
    </w:p>
    <w:p w14:paraId="5908476B" w14:textId="77777777" w:rsidR="00A53268" w:rsidRDefault="00A53268" w:rsidP="00A53268">
      <w:pPr>
        <w:pStyle w:val="ListBullet"/>
        <w:numPr>
          <w:ilvl w:val="0"/>
          <w:numId w:val="0"/>
        </w:numPr>
      </w:pPr>
      <w:r w:rsidRPr="00DF278F">
        <w:rPr>
          <w:lang w:val="de-DE"/>
        </w:rPr>
        <w:t xml:space="preserve">Why does Kant say “Es ist aber für jeden </w:t>
      </w:r>
      <w:r w:rsidRPr="00DF278F">
        <w:rPr>
          <w:b/>
          <w:lang w:val="de-DE"/>
        </w:rPr>
        <w:t xml:space="preserve">einzelnen </w:t>
      </w:r>
      <w:r w:rsidRPr="00DF278F">
        <w:rPr>
          <w:lang w:val="de-DE"/>
        </w:rPr>
        <w:t xml:space="preserve">Menschen schwer, sich aus der ihm beinahe zur Natur gewordenen Unmündigkeit herauszuarbeiten” (p.10, my emphasis), and why does he think that this is easier, even almost unavoidable, for “ein Publikum” – and what does he mean by “Publikum”? </w:t>
      </w:r>
      <w:r>
        <w:t xml:space="preserve">(Note: a lot of the terms he is using have slightly changed their meaning over time in German). </w:t>
      </w:r>
    </w:p>
    <w:p w14:paraId="2DA8BAD3" w14:textId="77777777" w:rsidR="00A53268" w:rsidRDefault="00A53268" w:rsidP="00A53268">
      <w:pPr>
        <w:pStyle w:val="ListBullet"/>
        <w:numPr>
          <w:ilvl w:val="0"/>
          <w:numId w:val="0"/>
        </w:numPr>
      </w:pPr>
      <w:r>
        <w:t xml:space="preserve">What does Kant see as the role of the ‘Selbstdenkende’ in the promotion of </w:t>
      </w:r>
      <w:r>
        <w:rPr>
          <w:i/>
        </w:rPr>
        <w:t>Aufklärung</w:t>
      </w:r>
      <w:r>
        <w:t xml:space="preserve">? Would one actually need people who are already more ‘aufgeklärt’ for such a process to work, or could a ‘Publikum’ attain greater Enlightenment even if they all start from roughly the same degree of average (un)enlightenment? How do you imagine such a </w:t>
      </w:r>
      <w:r w:rsidRPr="000F3901">
        <w:t>process o</w:t>
      </w:r>
      <w:r>
        <w:t xml:space="preserve">f ‘mutual Enlightenment’ would work? </w:t>
      </w:r>
    </w:p>
    <w:p w14:paraId="3D13FA28" w14:textId="77777777" w:rsidR="00A53268" w:rsidRDefault="00A53268" w:rsidP="00A53268">
      <w:pPr>
        <w:pStyle w:val="ListBullet"/>
        <w:numPr>
          <w:ilvl w:val="0"/>
          <w:numId w:val="0"/>
        </w:numPr>
      </w:pPr>
      <w:r>
        <w:t>Why is he sceptical of revolutions?</w:t>
      </w:r>
    </w:p>
    <w:p w14:paraId="4270B1A3" w14:textId="77777777" w:rsidR="00A53268" w:rsidRDefault="00A53268" w:rsidP="00A53268">
      <w:pPr>
        <w:pStyle w:val="ListBullet"/>
        <w:numPr>
          <w:ilvl w:val="0"/>
          <w:numId w:val="0"/>
        </w:numPr>
      </w:pPr>
    </w:p>
    <w:p w14:paraId="785BA3A3" w14:textId="77777777" w:rsidR="00A53268" w:rsidRDefault="00A53268" w:rsidP="00A53268">
      <w:pPr>
        <w:pStyle w:val="ListBullet"/>
        <w:numPr>
          <w:ilvl w:val="0"/>
          <w:numId w:val="0"/>
        </w:numPr>
      </w:pPr>
      <w:r>
        <w:t xml:space="preserve">Summarise Kant’s definition of </w:t>
      </w:r>
      <w:r>
        <w:rPr>
          <w:i/>
        </w:rPr>
        <w:t>Aufklärung</w:t>
      </w:r>
      <w:r>
        <w:t xml:space="preserve"> on the basis of this opening passage.</w:t>
      </w:r>
      <w:r>
        <w:br/>
      </w:r>
    </w:p>
    <w:p w14:paraId="6EA193DB" w14:textId="77777777" w:rsidR="00A53268" w:rsidRPr="000027C6" w:rsidRDefault="00A53268" w:rsidP="000027C6">
      <w:pPr>
        <w:pStyle w:val="Heading3"/>
      </w:pPr>
      <w:r w:rsidRPr="000027C6">
        <w:t>Group 2:</w:t>
      </w:r>
    </w:p>
    <w:p w14:paraId="47B22B46" w14:textId="77777777" w:rsidR="00A53268" w:rsidRDefault="00A53268" w:rsidP="00A53268"/>
    <w:p w14:paraId="1932F9DE" w14:textId="77777777" w:rsidR="00A53268" w:rsidRPr="00DF278F" w:rsidRDefault="00A53268" w:rsidP="00A53268">
      <w:pPr>
        <w:rPr>
          <w:lang w:val="de-DE"/>
        </w:rPr>
      </w:pPr>
      <w:r w:rsidRPr="00DF278F">
        <w:rPr>
          <w:lang w:val="de-DE"/>
        </w:rPr>
        <w:t xml:space="preserve">Focus on the passage in Kant’s argument from ‘Zu dieser Aufklärung aber wird nichts erfordert als </w:t>
      </w:r>
      <w:r w:rsidRPr="00DF278F">
        <w:rPr>
          <w:i/>
          <w:lang w:val="de-DE"/>
        </w:rPr>
        <w:t>Freiheit</w:t>
      </w:r>
      <w:r w:rsidRPr="00DF278F">
        <w:rPr>
          <w:lang w:val="de-DE"/>
        </w:rPr>
        <w:t>’ (p.11) to ‘auf Verewigung der Ungereimtheiten hinausläuft’ (p.13).</w:t>
      </w:r>
    </w:p>
    <w:p w14:paraId="53A88088" w14:textId="77777777" w:rsidR="00A53268" w:rsidRPr="00DF278F" w:rsidRDefault="00A53268" w:rsidP="00A53268">
      <w:pPr>
        <w:rPr>
          <w:lang w:val="de-DE"/>
        </w:rPr>
      </w:pPr>
    </w:p>
    <w:p w14:paraId="0257B4CE" w14:textId="77777777" w:rsidR="00A53268" w:rsidRDefault="00A53268" w:rsidP="00A53268">
      <w:r w:rsidRPr="00DF278F">
        <w:rPr>
          <w:lang w:val="de-DE"/>
        </w:rPr>
        <w:t xml:space="preserve">Kant distinguishes here between ‘der </w:t>
      </w:r>
      <w:r w:rsidRPr="00DF278F">
        <w:rPr>
          <w:i/>
          <w:lang w:val="de-DE"/>
        </w:rPr>
        <w:t>öffentliche</w:t>
      </w:r>
      <w:r w:rsidRPr="00DF278F">
        <w:rPr>
          <w:lang w:val="de-DE"/>
        </w:rPr>
        <w:t xml:space="preserve"> Gebrauch’ of reason (</w:t>
      </w:r>
      <w:r w:rsidRPr="00DF278F">
        <w:rPr>
          <w:i/>
          <w:lang w:val="de-DE"/>
        </w:rPr>
        <w:t>Vernunft</w:t>
      </w:r>
      <w:r w:rsidRPr="00DF278F">
        <w:rPr>
          <w:lang w:val="de-DE"/>
        </w:rPr>
        <w:t xml:space="preserve">) and ‘der </w:t>
      </w:r>
      <w:r w:rsidRPr="00DF278F">
        <w:rPr>
          <w:i/>
          <w:lang w:val="de-DE"/>
        </w:rPr>
        <w:t>Privatgebrauch</w:t>
      </w:r>
      <w:r w:rsidRPr="00DF278F">
        <w:rPr>
          <w:lang w:val="de-DE"/>
        </w:rPr>
        <w:t xml:space="preserve"> derselben’: how does he define each use?</w:t>
      </w:r>
      <w:r>
        <w:rPr>
          <w:lang w:val="de-DE"/>
        </w:rPr>
        <w:t xml:space="preserve"> </w:t>
      </w:r>
      <w:r w:rsidRPr="00072B99">
        <w:t>NB: you might find h</w:t>
      </w:r>
      <w:r>
        <w:t>is use of the terms somewhat co</w:t>
      </w:r>
      <w:r w:rsidRPr="00072B99">
        <w:t xml:space="preserve">unter-intuitive! </w:t>
      </w:r>
      <w:r>
        <w:t xml:space="preserve">How obvious and plausible is his definition? Why does he define the two categories in this way? </w:t>
      </w:r>
    </w:p>
    <w:p w14:paraId="79BFFCAD" w14:textId="77777777" w:rsidR="00A53268" w:rsidRDefault="00A53268" w:rsidP="00A53268"/>
    <w:p w14:paraId="554D81BE" w14:textId="77777777" w:rsidR="00A53268" w:rsidRPr="00AE3C5C" w:rsidRDefault="00A53268" w:rsidP="00A53268">
      <w:r>
        <w:t>Comment on each of the examples he gives of the contrast between the private and the public use of the faculty of reason: the army officer, the tax-paying citizen (‘Abgaben’ = taxes), the priest (‘Geistlicher’). What is the private use of reason for each of them – and what obligations does it commit them to – and what is the public use of reason? Why should the ‘</w:t>
      </w:r>
      <w:r>
        <w:rPr>
          <w:i/>
        </w:rPr>
        <w:t>Privatgebrauch</w:t>
      </w:r>
      <w:r>
        <w:t>’ of reason be restricted?</w:t>
      </w:r>
    </w:p>
    <w:p w14:paraId="19774166" w14:textId="77777777" w:rsidR="00A53268" w:rsidRDefault="00A53268" w:rsidP="00A53268"/>
    <w:p w14:paraId="0F14A4B3" w14:textId="77777777" w:rsidR="00A53268" w:rsidRDefault="00A53268" w:rsidP="00A53268">
      <w:r>
        <w:t xml:space="preserve">What does Kant’s argument suggest about the relationship, as he sees it, between the reasoning individual, able to think for him- or herself, on the one hand and the preservation of social order on the other? How is the public use of reason supposed to function (i.e. by what means)? How is Kant defining </w:t>
      </w:r>
      <w:r>
        <w:rPr>
          <w:i/>
        </w:rPr>
        <w:t>freedom</w:t>
      </w:r>
      <w:r>
        <w:t xml:space="preserve"> here? Do you agree that this </w:t>
      </w:r>
      <w:r>
        <w:rPr>
          <w:i/>
        </w:rPr>
        <w:t xml:space="preserve">is </w:t>
      </w:r>
      <w:r>
        <w:t>freedom? Do you see problems with/limitations on freedom as he conceives it?</w:t>
      </w:r>
    </w:p>
    <w:p w14:paraId="25FF14CF" w14:textId="77777777" w:rsidR="00A53268" w:rsidRDefault="00A53268" w:rsidP="00A53268">
      <w:pPr>
        <w:rPr>
          <w:b/>
          <w:u w:val="single"/>
        </w:rPr>
      </w:pPr>
    </w:p>
    <w:p w14:paraId="45CE225D" w14:textId="77777777" w:rsidR="00A53268" w:rsidRPr="00DF278F" w:rsidRDefault="00A53268" w:rsidP="00A53268">
      <w:pPr>
        <w:rPr>
          <w:b/>
          <w:lang w:val="de-DE"/>
        </w:rPr>
      </w:pPr>
      <w:r w:rsidRPr="00DF278F">
        <w:rPr>
          <w:b/>
          <w:u w:val="single"/>
          <w:lang w:val="de-DE"/>
        </w:rPr>
        <w:t>Group 3</w:t>
      </w:r>
      <w:r w:rsidRPr="00DF278F">
        <w:rPr>
          <w:b/>
          <w:lang w:val="de-DE"/>
        </w:rPr>
        <w:t>:</w:t>
      </w:r>
    </w:p>
    <w:p w14:paraId="10092979" w14:textId="77777777" w:rsidR="00A53268" w:rsidRPr="00DF278F" w:rsidRDefault="00A53268" w:rsidP="00A53268">
      <w:pPr>
        <w:rPr>
          <w:lang w:val="de-DE"/>
        </w:rPr>
      </w:pPr>
    </w:p>
    <w:p w14:paraId="4A88B8B6" w14:textId="77777777" w:rsidR="00A53268" w:rsidRPr="00DF278F" w:rsidRDefault="00A53268" w:rsidP="00A53268">
      <w:pPr>
        <w:rPr>
          <w:lang w:val="de-DE"/>
        </w:rPr>
      </w:pPr>
      <w:r w:rsidRPr="00DF278F">
        <w:rPr>
          <w:lang w:val="de-DE"/>
        </w:rPr>
        <w:t>Focus on the continuation of the argument: from ‘Aber sollte nicht eine Gesellschaft’ (p.13) to ‘Untertanen zu unterstützen’ (p.15).</w:t>
      </w:r>
    </w:p>
    <w:p w14:paraId="7A22E8F8" w14:textId="77777777" w:rsidR="00A53268" w:rsidRPr="00DF278F" w:rsidRDefault="00A53268" w:rsidP="00A53268">
      <w:pPr>
        <w:rPr>
          <w:lang w:val="de-DE"/>
        </w:rPr>
      </w:pPr>
    </w:p>
    <w:p w14:paraId="28505D8B" w14:textId="77777777" w:rsidR="00A53268" w:rsidRDefault="00A53268" w:rsidP="00A53268">
      <w:r>
        <w:t xml:space="preserve">Why does Kant think it ‘ganz unmöglich’ that a society (for example an order of religious or political leaders) should commit itself by oath to an unchanging symbol (‘sich eidlich untereinander auf ein gewisses unveränderliches Symbol zu verpflichten’, p.13)? What do you think he means by </w:t>
      </w:r>
      <w:r>
        <w:rPr>
          <w:i/>
        </w:rPr>
        <w:t xml:space="preserve">symbol </w:t>
      </w:r>
      <w:r>
        <w:t>here? (There are annotations on pp. 57ff.!) Why would such a commitment to something unchanging be a crime (</w:t>
      </w:r>
      <w:r>
        <w:rPr>
          <w:i/>
        </w:rPr>
        <w:t>Verbrechen</w:t>
      </w:r>
      <w:r>
        <w:t xml:space="preserve">) against the ‘Bestimmung’ of the human being (top p.14)? What </w:t>
      </w:r>
      <w:r>
        <w:rPr>
          <w:i/>
        </w:rPr>
        <w:t>is</w:t>
      </w:r>
      <w:r>
        <w:t xml:space="preserve"> the ‘Bestimmung’ of the human being in Kant’s view?</w:t>
      </w:r>
    </w:p>
    <w:p w14:paraId="2E216341" w14:textId="77777777" w:rsidR="00A53268" w:rsidRDefault="00A53268" w:rsidP="00A53268"/>
    <w:p w14:paraId="51E99293" w14:textId="77777777" w:rsidR="00A53268" w:rsidRDefault="00A53268" w:rsidP="00A53268">
      <w:r>
        <w:t>If eternal truths are not permissible from Kant’s enlightened standpoint, how does he envisage the process of social change (or, in his example, change in religious belief)? What is the process he describes by which such change (in beliefs, in laws) is brought about? (In order to answer this, you’ll have to try to untangle the meaning of that very long sentence on p.14 ‘Nun wäre dieses wohl…’ to ‘bewenden lassen’.)</w:t>
      </w:r>
    </w:p>
    <w:p w14:paraId="08A8E2B4" w14:textId="77777777" w:rsidR="00A53268" w:rsidRDefault="00A53268" w:rsidP="00A53268"/>
    <w:p w14:paraId="520DC9F0" w14:textId="77777777" w:rsidR="00A53268" w:rsidRPr="00DF278F" w:rsidRDefault="00A53268" w:rsidP="00A53268">
      <w:pPr>
        <w:rPr>
          <w:lang w:val="de-DE"/>
        </w:rPr>
      </w:pPr>
      <w:r>
        <w:t xml:space="preserve">How does Kant see the relationship between different generations (‘Nachkommenschaft’ = those who come after, i.e. the next generation)? </w:t>
      </w:r>
      <w:r w:rsidRPr="00DF278F">
        <w:rPr>
          <w:lang w:val="de-DE"/>
        </w:rPr>
        <w:t xml:space="preserve">What is he saying is ‘eine Verletzung der heiligen Rechte der Menschheit’ (p.14)? </w:t>
      </w:r>
    </w:p>
    <w:p w14:paraId="7608DF04" w14:textId="77777777" w:rsidR="00A53268" w:rsidRPr="00DF278F" w:rsidRDefault="00A53268" w:rsidP="00A53268">
      <w:pPr>
        <w:rPr>
          <w:lang w:val="de-DE"/>
        </w:rPr>
      </w:pPr>
    </w:p>
    <w:p w14:paraId="4D608CB2" w14:textId="77777777" w:rsidR="00A53268" w:rsidRDefault="00A53268" w:rsidP="00A53268">
      <w:r>
        <w:t xml:space="preserve">Finally, what are his recommendations for the </w:t>
      </w:r>
      <w:r>
        <w:rPr>
          <w:i/>
        </w:rPr>
        <w:t>monarch</w:t>
      </w:r>
      <w:r>
        <w:t xml:space="preserve">?  </w:t>
      </w:r>
      <w:r w:rsidRPr="00DF278F">
        <w:rPr>
          <w:lang w:val="de-DE"/>
        </w:rPr>
        <w:t xml:space="preserve">Kant is expressing himself </w:t>
      </w:r>
      <w:r w:rsidRPr="00DF278F">
        <w:rPr>
          <w:i/>
          <w:lang w:val="de-DE"/>
        </w:rPr>
        <w:t xml:space="preserve">very </w:t>
      </w:r>
      <w:r w:rsidRPr="00DF278F">
        <w:rPr>
          <w:lang w:val="de-DE"/>
        </w:rPr>
        <w:t>carefully here, but what specifically do you think he means by the following</w:t>
      </w:r>
      <w:r w:rsidRPr="000F3901">
        <w:rPr>
          <w:lang w:val="de-DE"/>
        </w:rPr>
        <w:t xml:space="preserve">: ‘Es tut selbst seiner [i.e. des Monarchs] Majestät Abbruch, wenn er sich hierin mischt, </w:t>
      </w:r>
      <w:r w:rsidRPr="000F3901">
        <w:rPr>
          <w:i/>
          <w:lang w:val="de-DE"/>
        </w:rPr>
        <w:t>indem er die Schriften</w:t>
      </w:r>
      <w:r w:rsidRPr="000F3901">
        <w:rPr>
          <w:lang w:val="de-DE"/>
        </w:rPr>
        <w:t xml:space="preserve">, wodurch seine Untertanen ihre Einsichten ins reine zu bringen suchen, </w:t>
      </w:r>
      <w:r w:rsidRPr="000F3901">
        <w:rPr>
          <w:i/>
          <w:lang w:val="de-DE"/>
        </w:rPr>
        <w:t xml:space="preserve">seiner Regierungsaufsicht würdigt </w:t>
      </w:r>
      <w:r w:rsidRPr="000F3901">
        <w:rPr>
          <w:lang w:val="de-DE"/>
        </w:rPr>
        <w:t>…’?</w:t>
      </w:r>
      <w:r w:rsidRPr="00DF278F">
        <w:rPr>
          <w:lang w:val="de-DE"/>
        </w:rPr>
        <w:t xml:space="preserve"> </w:t>
      </w:r>
      <w:r>
        <w:t>What state activity is Kant criticising here?</w:t>
      </w:r>
      <w:r>
        <w:br/>
      </w:r>
    </w:p>
    <w:p w14:paraId="0C026667" w14:textId="77777777" w:rsidR="00A53268" w:rsidRDefault="00A53268" w:rsidP="00A53268">
      <w:pPr>
        <w:rPr>
          <w:u w:val="single"/>
        </w:rPr>
      </w:pPr>
      <w:r>
        <w:rPr>
          <w:b/>
          <w:u w:val="single"/>
        </w:rPr>
        <w:t>All students</w:t>
      </w:r>
      <w:r>
        <w:rPr>
          <w:u w:val="single"/>
        </w:rPr>
        <w:t>:</w:t>
      </w:r>
    </w:p>
    <w:p w14:paraId="531F39CF" w14:textId="77777777" w:rsidR="00A53268" w:rsidRDefault="00A53268" w:rsidP="00A53268"/>
    <w:p w14:paraId="6FF9A379" w14:textId="77777777" w:rsidR="00A53268" w:rsidRDefault="00A53268" w:rsidP="00A53268">
      <w:r>
        <w:t xml:space="preserve">Before the seminar, please would you </w:t>
      </w:r>
      <w:r>
        <w:rPr>
          <w:b/>
        </w:rPr>
        <w:t xml:space="preserve">all individually </w:t>
      </w:r>
      <w:r>
        <w:t>have a go at reading the essay’s final sequence: from ‘Wenn denn nun gefragt wird’ (p.15) to the end.</w:t>
      </w:r>
    </w:p>
    <w:p w14:paraId="57013AAA" w14:textId="77777777" w:rsidR="00A53268" w:rsidRDefault="00A53268" w:rsidP="00A53268">
      <w:r>
        <w:t xml:space="preserve">I will say a few words about this passage, in which Kant is writing specifically about the King of Prussia at the time he wrote the essay, Friedrich II, called </w:t>
      </w:r>
      <w:r>
        <w:rPr>
          <w:i/>
        </w:rPr>
        <w:t>der Große</w:t>
      </w:r>
      <w:r>
        <w:t xml:space="preserve"> (king of Prussia from 1740-1786), in the lecture in week 2 – but I’d like you to have some views on the apparent compromise Kant makes here with absolutist rule.</w:t>
      </w:r>
    </w:p>
    <w:p w14:paraId="65346033" w14:textId="77777777" w:rsidR="00A53268" w:rsidRDefault="00A53268" w:rsidP="00A53268"/>
    <w:p w14:paraId="255B7991" w14:textId="77777777" w:rsidR="00A53268" w:rsidRDefault="00A53268" w:rsidP="00A53268">
      <w:r>
        <w:t xml:space="preserve">What, according to Kant, is the connection between a strong army and freedom of speech (p. 17, top)? Why does he describe the relationship of ‘bürgerliche Freiheit’ (civil freedom – implied is a state governed by a representative parliament, as opposed to an absolutist monarchy like Prussia) and ‘Freiheit des </w:t>
      </w:r>
      <w:r>
        <w:rPr>
          <w:i/>
        </w:rPr>
        <w:t>Geistes</w:t>
      </w:r>
      <w:r>
        <w:t>’ as ‘paradox’ (p. 17)? What do you think of his position?</w:t>
      </w:r>
    </w:p>
    <w:p w14:paraId="41537EE0" w14:textId="77777777" w:rsidR="00A53268" w:rsidRDefault="00A53268">
      <w:pPr>
        <w:spacing w:line="240" w:lineRule="auto"/>
        <w:rPr>
          <w:b/>
          <w:sz w:val="36"/>
          <w:szCs w:val="36"/>
        </w:rPr>
      </w:pPr>
      <w:r>
        <w:rPr>
          <w:b/>
          <w:sz w:val="36"/>
          <w:szCs w:val="36"/>
        </w:rPr>
        <w:br w:type="page"/>
      </w:r>
    </w:p>
    <w:p w14:paraId="3B3730FD" w14:textId="77777777" w:rsidR="00A53268" w:rsidRDefault="00A53268" w:rsidP="00A53268">
      <w:pPr>
        <w:pStyle w:val="Title"/>
      </w:pPr>
      <w:r>
        <w:t>German Culture in the Age of Revolution, 1789-1848</w:t>
      </w:r>
    </w:p>
    <w:p w14:paraId="4F5F3D0A" w14:textId="77777777" w:rsidR="00A53268" w:rsidRDefault="00A53268" w:rsidP="00A53268">
      <w:pPr>
        <w:jc w:val="center"/>
        <w:rPr>
          <w:b/>
        </w:rPr>
      </w:pPr>
    </w:p>
    <w:p w14:paraId="13B58E63" w14:textId="77777777" w:rsidR="00A53268" w:rsidRDefault="00A53268" w:rsidP="00A53268">
      <w:pPr>
        <w:jc w:val="center"/>
        <w:rPr>
          <w:b/>
        </w:rPr>
      </w:pPr>
      <w:r>
        <w:rPr>
          <w:b/>
        </w:rPr>
        <w:t xml:space="preserve">Seminar Term 1 Week 3 </w:t>
      </w:r>
    </w:p>
    <w:p w14:paraId="37243911" w14:textId="77777777" w:rsidR="00A53268" w:rsidRDefault="00A53268" w:rsidP="00A53268">
      <w:pPr>
        <w:jc w:val="center"/>
        <w:rPr>
          <w:b/>
        </w:rPr>
      </w:pPr>
    </w:p>
    <w:p w14:paraId="03AE177F" w14:textId="77777777" w:rsidR="00A53268" w:rsidRPr="00875216" w:rsidRDefault="00A53268" w:rsidP="00A53268">
      <w:pPr>
        <w:jc w:val="center"/>
        <w:rPr>
          <w:b/>
        </w:rPr>
      </w:pPr>
      <w:r>
        <w:rPr>
          <w:b/>
        </w:rPr>
        <w:t xml:space="preserve">G.E. Lessing, </w:t>
      </w:r>
      <w:r w:rsidRPr="00875216">
        <w:rPr>
          <w:b/>
          <w:i/>
        </w:rPr>
        <w:t>Die Juden</w:t>
      </w:r>
    </w:p>
    <w:p w14:paraId="48C82034" w14:textId="77777777" w:rsidR="00A53268" w:rsidRPr="00875216" w:rsidRDefault="00A53268" w:rsidP="00A53268">
      <w:pPr>
        <w:rPr>
          <w:b/>
        </w:rPr>
      </w:pPr>
    </w:p>
    <w:p w14:paraId="40884627" w14:textId="77777777" w:rsidR="00A53268" w:rsidRPr="00827061" w:rsidRDefault="00A53268" w:rsidP="00A53268">
      <w:r w:rsidRPr="00827061">
        <w:t xml:space="preserve">Lessing wrote </w:t>
      </w:r>
      <w:r w:rsidRPr="000D7F4D">
        <w:rPr>
          <w:i/>
        </w:rPr>
        <w:t>Die Juden</w:t>
      </w:r>
      <w:r w:rsidRPr="00827061">
        <w:t xml:space="preserve"> in 1749, at the age of only 20 and about two decades before </w:t>
      </w:r>
      <w:r w:rsidRPr="00827061">
        <w:rPr>
          <w:i/>
        </w:rPr>
        <w:t>Emilia Galotti</w:t>
      </w:r>
      <w:r w:rsidRPr="00827061">
        <w:t xml:space="preserve"> and three decades before returning to the topic of Jewish-Gentile relationships and to the conflicting claims of the three monotheistic world religions, Judaism, Christianity and Islam, in his much better known </w:t>
      </w:r>
      <w:r w:rsidRPr="00827061">
        <w:rPr>
          <w:i/>
        </w:rPr>
        <w:t>Nathan der Weise</w:t>
      </w:r>
      <w:r w:rsidRPr="00827061">
        <w:t xml:space="preserve">. Part of the historical significance of </w:t>
      </w:r>
      <w:r w:rsidRPr="000D7F4D">
        <w:rPr>
          <w:i/>
        </w:rPr>
        <w:t>Die Juden</w:t>
      </w:r>
      <w:r w:rsidRPr="00827061">
        <w:t xml:space="preserve"> derives from the fact that by all accounts this was the first time ever that a Jew was depicted in a positive way on the German stage. Up to this point, Jews were usually represented either as villains or as ridiculous figures (and frequently both), and Jewish characters on stage tended to conform to the stereotypes we hear from many of the gentile characters in </w:t>
      </w:r>
      <w:r w:rsidRPr="00827061">
        <w:rPr>
          <w:i/>
        </w:rPr>
        <w:t>Die Juden</w:t>
      </w:r>
      <w:r w:rsidRPr="00827061">
        <w:t xml:space="preserve">. This reflects the historical situation of Jews: Jewish existence all over Europe was characterised by social and legal discrimination, including the prohibition of intermarriages, and anti-Jewish attitudes ranging from mild disdain to bitter hatred were widespread. We can therefore safely assume that a large part of the audience of the first productions of </w:t>
      </w:r>
      <w:r w:rsidRPr="00827061">
        <w:rPr>
          <w:i/>
        </w:rPr>
        <w:t xml:space="preserve">Die Juden </w:t>
      </w:r>
      <w:r w:rsidRPr="00827061">
        <w:t xml:space="preserve">will have entered the theatre expecting to see yet another comedy satirising Jewish greed and narrow-mindedness. </w:t>
      </w:r>
    </w:p>
    <w:p w14:paraId="46F82926" w14:textId="77777777" w:rsidR="00A53268" w:rsidRPr="00827061" w:rsidRDefault="00A53268" w:rsidP="00A53268"/>
    <w:p w14:paraId="394F6E9F" w14:textId="77777777" w:rsidR="00A53268" w:rsidRPr="00827061" w:rsidRDefault="00A53268" w:rsidP="00A53268">
      <w:r w:rsidRPr="00827061">
        <w:t xml:space="preserve">This expectation will have been supported by the conventions of comedy writing of the time, according to which the title of a comedy frequently indicated which individual character flaw or which social group was going to be satirised (think, for example, of Shakespeare’s </w:t>
      </w:r>
      <w:r w:rsidRPr="00827061">
        <w:rPr>
          <w:i/>
        </w:rPr>
        <w:t>Taming of the Shrew</w:t>
      </w:r>
      <w:r w:rsidRPr="000D7F4D">
        <w:t>, of</w:t>
      </w:r>
      <w:r w:rsidRPr="00827061">
        <w:t xml:space="preserve"> Molière’s comedies </w:t>
      </w:r>
      <w:r w:rsidRPr="00827061">
        <w:rPr>
          <w:i/>
        </w:rPr>
        <w:t>L’Avare</w:t>
      </w:r>
      <w:r w:rsidRPr="00827061">
        <w:t xml:space="preserve"> [</w:t>
      </w:r>
      <w:r w:rsidRPr="00827061">
        <w:rPr>
          <w:i/>
        </w:rPr>
        <w:t>The Miser</w:t>
      </w:r>
      <w:r w:rsidRPr="00827061">
        <w:t xml:space="preserve">] or </w:t>
      </w:r>
      <w:r w:rsidRPr="00827061">
        <w:rPr>
          <w:i/>
        </w:rPr>
        <w:t>Le Malade Imaginaire</w:t>
      </w:r>
      <w:r w:rsidRPr="00827061">
        <w:t xml:space="preserve"> [</w:t>
      </w:r>
      <w:r w:rsidRPr="00827061">
        <w:rPr>
          <w:i/>
        </w:rPr>
        <w:t>The Hypochondriac</w:t>
      </w:r>
      <w:r w:rsidRPr="00827061">
        <w:t xml:space="preserve">] or, to give a contemporary example, Friedrich Dürrenmatt’s play </w:t>
      </w:r>
      <w:r w:rsidRPr="00827061">
        <w:rPr>
          <w:i/>
        </w:rPr>
        <w:t>Die Physiker</w:t>
      </w:r>
      <w:r w:rsidRPr="000D7F4D">
        <w:t>)</w:t>
      </w:r>
      <w:r w:rsidRPr="00827061">
        <w:t xml:space="preserve">. </w:t>
      </w:r>
    </w:p>
    <w:p w14:paraId="37539F1B" w14:textId="77777777" w:rsidR="00A53268" w:rsidRPr="00827061" w:rsidRDefault="00A53268" w:rsidP="00A53268"/>
    <w:p w14:paraId="1E0BA461" w14:textId="77777777" w:rsidR="00A53268" w:rsidRPr="00827061" w:rsidRDefault="00A53268" w:rsidP="00A53268">
      <w:r w:rsidRPr="000D7F4D">
        <w:t>An awareness of this historical and cultural context is vital when reading the play, as it fundamentally affects our perception of the way the play ‘works’ and our assumptions about its effect on the contemporary audience. As we will see, a case can be made that Lessing is both using and undermining the comedy conventions of his time to make his political case more forcefully.</w:t>
      </w:r>
    </w:p>
    <w:p w14:paraId="3FADE159" w14:textId="77777777" w:rsidR="00A53268" w:rsidRPr="00875216" w:rsidRDefault="00A53268" w:rsidP="00A53268"/>
    <w:p w14:paraId="0CAAF172" w14:textId="77777777" w:rsidR="00A53268" w:rsidRPr="00875216" w:rsidRDefault="00A53268" w:rsidP="00A53268"/>
    <w:p w14:paraId="14FD5B4A" w14:textId="77777777" w:rsidR="00A53268" w:rsidRPr="000F59F5" w:rsidRDefault="00A53268" w:rsidP="00A53268">
      <w:pPr>
        <w:rPr>
          <w:b/>
        </w:rPr>
      </w:pPr>
      <w:r w:rsidRPr="000F59F5">
        <w:rPr>
          <w:b/>
          <w:u w:val="single"/>
        </w:rPr>
        <w:t>GROUP 1</w:t>
      </w:r>
      <w:r w:rsidRPr="000F59F5">
        <w:rPr>
          <w:b/>
        </w:rPr>
        <w:t xml:space="preserve"> (scenes 1-8)</w:t>
      </w:r>
    </w:p>
    <w:p w14:paraId="56A3D430" w14:textId="77777777" w:rsidR="00A53268" w:rsidRPr="000D7F4D" w:rsidRDefault="00A53268" w:rsidP="00A53268">
      <w:r w:rsidRPr="000D7F4D">
        <w:t>The first few scenes of the play function as an exposition: we are introduced to most of the characters (with the exception of Lisette) and to the main topics and intrigues, notably to the nature of the beliefs about ‘the Jews’ held by most of these characters.</w:t>
      </w:r>
    </w:p>
    <w:p w14:paraId="66101904" w14:textId="77777777" w:rsidR="00A53268" w:rsidRPr="000B12E5" w:rsidRDefault="00A53268" w:rsidP="00A53268">
      <w:pPr>
        <w:rPr>
          <w:b/>
        </w:rPr>
      </w:pPr>
    </w:p>
    <w:p w14:paraId="129C97A8" w14:textId="77777777" w:rsidR="00A53268" w:rsidRPr="00875216" w:rsidRDefault="00A53268" w:rsidP="00A53268">
      <w:r w:rsidRPr="000B12E5">
        <w:rPr>
          <w:b/>
        </w:rPr>
        <w:t>Scene 2:</w:t>
      </w:r>
      <w:r w:rsidRPr="00875216">
        <w:t xml:space="preserve"> What happens in this scene? Who knows what? And how much does the audience know, compared with each of the characters? Describe in what way this contributes to the comical effect of the scene.</w:t>
      </w:r>
    </w:p>
    <w:p w14:paraId="1C72BC69" w14:textId="77777777" w:rsidR="00A53268" w:rsidRPr="00875216" w:rsidRDefault="00A53268" w:rsidP="00A53268"/>
    <w:p w14:paraId="78B2BA58" w14:textId="77777777" w:rsidR="00A53268" w:rsidRPr="00875216" w:rsidRDefault="00A53268" w:rsidP="00A53268">
      <w:r w:rsidRPr="00875216">
        <w:t xml:space="preserve">Part of the enjoyment of watching a comedy derives from the fact that the audience is normally able to see through all the errors and complications presented on stage and knows who is fooling whom – the audience can sit back and see the confusion unfold without being themselves confused, as is also illustrated by many of the later scenes in </w:t>
      </w:r>
      <w:r w:rsidRPr="00875216">
        <w:rPr>
          <w:i/>
        </w:rPr>
        <w:t>Die Juden</w:t>
      </w:r>
      <w:r w:rsidRPr="00875216">
        <w:t>. Think about the end of the play: How does this ‘safe’ position of the audience change through the revelation of the traveller’s identity in scene 22? How, do you think, the audience’s view of scene 2 would change if they had already seen the entire play, including the final revelations?</w:t>
      </w:r>
    </w:p>
    <w:p w14:paraId="7BA3B6A1" w14:textId="77777777" w:rsidR="00A53268" w:rsidRPr="000B12E5" w:rsidRDefault="00A53268" w:rsidP="00A53268"/>
    <w:p w14:paraId="52A237A6" w14:textId="77777777" w:rsidR="00A53268" w:rsidRPr="00827061" w:rsidRDefault="00A53268" w:rsidP="00A53268">
      <w:r w:rsidRPr="000B12E5">
        <w:t>Which kind of ‘evidence’ does Krumm present for his anti-Jewish beliefs (e.g. p. 8, line 32 to p. 9, line13)? What does his own behaviour (e.g. pp. 9-10) say about the nature of these beliefs?</w:t>
      </w:r>
    </w:p>
    <w:p w14:paraId="343DAA35" w14:textId="77777777" w:rsidR="00A53268" w:rsidRPr="000B12E5" w:rsidRDefault="00A53268" w:rsidP="00A53268"/>
    <w:p w14:paraId="3CB770FF" w14:textId="77777777" w:rsidR="00A53268" w:rsidRPr="000B12E5" w:rsidRDefault="00A53268" w:rsidP="00A53268">
      <w:r w:rsidRPr="00827061">
        <w:t xml:space="preserve">What is the function of </w:t>
      </w:r>
      <w:r w:rsidRPr="000D7F4D">
        <w:rPr>
          <w:b/>
        </w:rPr>
        <w:t>scene 3</w:t>
      </w:r>
      <w:r w:rsidRPr="00827061">
        <w:t>?</w:t>
      </w:r>
    </w:p>
    <w:p w14:paraId="6476B3E3" w14:textId="77777777" w:rsidR="00A53268" w:rsidRPr="002C100C" w:rsidRDefault="00A53268" w:rsidP="00A53268"/>
    <w:p w14:paraId="38DFEFB8" w14:textId="77777777" w:rsidR="00A53268" w:rsidRPr="000B12E5" w:rsidRDefault="00A53268" w:rsidP="00A53268">
      <w:r w:rsidRPr="00D92692">
        <w:t xml:space="preserve">Give a brief summary of the development of events in </w:t>
      </w:r>
      <w:r w:rsidRPr="000D7F4D">
        <w:rPr>
          <w:b/>
        </w:rPr>
        <w:t>scenes 4-8</w:t>
      </w:r>
      <w:r w:rsidRPr="00D92692">
        <w:t xml:space="preserve">. How are the Reisende, the Fräulein and the Baron characterised in these scenes? What is the Baron’s ‘evidence’ for his view of the Jews (p. 17), and how convincing is it? </w:t>
      </w:r>
    </w:p>
    <w:p w14:paraId="01FC4109" w14:textId="77777777" w:rsidR="00A53268" w:rsidRPr="000B12E5" w:rsidRDefault="00A53268" w:rsidP="00A53268"/>
    <w:p w14:paraId="4557ABEB" w14:textId="77777777" w:rsidR="00A53268" w:rsidRPr="000B12E5" w:rsidRDefault="00A53268" w:rsidP="00A53268"/>
    <w:p w14:paraId="1B9F51B3" w14:textId="77777777" w:rsidR="000027C6" w:rsidRDefault="000027C6">
      <w:pPr>
        <w:spacing w:line="240" w:lineRule="auto"/>
        <w:rPr>
          <w:b/>
          <w:u w:val="single"/>
        </w:rPr>
      </w:pPr>
      <w:r>
        <w:rPr>
          <w:b/>
          <w:u w:val="single"/>
        </w:rPr>
        <w:br w:type="page"/>
      </w:r>
    </w:p>
    <w:p w14:paraId="4F6B324F" w14:textId="04506780" w:rsidR="00A53268" w:rsidRPr="000F59F5" w:rsidRDefault="00A53268" w:rsidP="00A53268">
      <w:pPr>
        <w:rPr>
          <w:b/>
          <w:u w:val="single"/>
        </w:rPr>
      </w:pPr>
      <w:r w:rsidRPr="000F59F5">
        <w:rPr>
          <w:b/>
          <w:u w:val="single"/>
        </w:rPr>
        <w:t>GROUP 2 (scenes 9-16)</w:t>
      </w:r>
    </w:p>
    <w:p w14:paraId="5E75ECAB" w14:textId="77777777" w:rsidR="00A53268" w:rsidRPr="00827061" w:rsidRDefault="00A53268" w:rsidP="00A53268">
      <w:r w:rsidRPr="00827061">
        <w:t xml:space="preserve">This middle part of the play, in particular the intrigues and flirtatious banter between the servant characters, most closely corresponds to the comedic conventions of the time. </w:t>
      </w:r>
    </w:p>
    <w:p w14:paraId="6D055281" w14:textId="77777777" w:rsidR="00A53268" w:rsidRPr="00827061" w:rsidRDefault="00A53268" w:rsidP="00A53268"/>
    <w:p w14:paraId="003B1EC5" w14:textId="77777777" w:rsidR="00A53268" w:rsidRPr="00827061" w:rsidRDefault="00A53268" w:rsidP="00A53268">
      <w:r w:rsidRPr="00827061">
        <w:t>Give a brief summary of the development of events in scenes 9-16. Christoph and Lisette are ‘classic’ comedy characters – what is their social position, and how is each of them portrayed?</w:t>
      </w:r>
    </w:p>
    <w:p w14:paraId="77182170" w14:textId="77777777" w:rsidR="00A53268" w:rsidRPr="00827061" w:rsidRDefault="00A53268" w:rsidP="00A53268"/>
    <w:p w14:paraId="73C7B687" w14:textId="77777777" w:rsidR="00A53268" w:rsidRPr="00827061" w:rsidRDefault="00A53268" w:rsidP="00A53268">
      <w:r w:rsidRPr="00827061">
        <w:t xml:space="preserve">A lot of bartering is going on in these scenes – what is it that is being bartered? According to the opinions voiced by Krumm and the Baron in the first part of the play, the key characteristic of Jews is that they are all dishonest and only interested in their own advantage. In this light, what do you think of the behaviour of the traveller on the one hand, Krumm, Christoph and Lisette on the other? </w:t>
      </w:r>
    </w:p>
    <w:p w14:paraId="4FB25666" w14:textId="77777777" w:rsidR="00A53268" w:rsidRPr="00827061" w:rsidRDefault="00A53268" w:rsidP="00A53268"/>
    <w:p w14:paraId="07A95C8D" w14:textId="77777777" w:rsidR="00A53268" w:rsidRPr="00827061" w:rsidRDefault="00A53268" w:rsidP="00A53268"/>
    <w:p w14:paraId="07504A5E" w14:textId="77777777" w:rsidR="00A53268" w:rsidRPr="000B12E5" w:rsidRDefault="00A53268" w:rsidP="00A53268">
      <w:pPr>
        <w:rPr>
          <w:b/>
          <w:u w:val="single"/>
        </w:rPr>
      </w:pPr>
      <w:r w:rsidRPr="000B12E5">
        <w:rPr>
          <w:b/>
          <w:u w:val="single"/>
        </w:rPr>
        <w:t>GROUP 3</w:t>
      </w:r>
      <w:r w:rsidRPr="00827061">
        <w:rPr>
          <w:b/>
        </w:rPr>
        <w:t xml:space="preserve"> (scenes 16-23)</w:t>
      </w:r>
    </w:p>
    <w:p w14:paraId="2E41B404" w14:textId="77777777" w:rsidR="00A53268" w:rsidRPr="00827061" w:rsidRDefault="00A53268" w:rsidP="00A53268">
      <w:r w:rsidRPr="00827061">
        <w:t xml:space="preserve">In this last third of the play, all misconceptions, deceptions and intrigues set up during the pervious parts of the play gradually begin to unravel and we would expect that events gradually steer towards the conventional happy end. </w:t>
      </w:r>
    </w:p>
    <w:p w14:paraId="29A3DC50" w14:textId="77777777" w:rsidR="00A53268" w:rsidRPr="00827061" w:rsidRDefault="00A53268" w:rsidP="00A53268"/>
    <w:p w14:paraId="0E47C142" w14:textId="77777777" w:rsidR="00A53268" w:rsidRPr="00827061" w:rsidRDefault="00A53268" w:rsidP="00A53268">
      <w:r w:rsidRPr="00827061">
        <w:t xml:space="preserve">What happens in </w:t>
      </w:r>
      <w:r w:rsidRPr="000D7F4D">
        <w:rPr>
          <w:b/>
        </w:rPr>
        <w:t>scene 16</w:t>
      </w:r>
      <w:r w:rsidRPr="00827061">
        <w:t>? Comment on p. 35, lines 16-17 – how could we understand the scene in which the traveller tries on the false ‘Jewish’ beard?</w:t>
      </w:r>
    </w:p>
    <w:p w14:paraId="71CDAC6F" w14:textId="77777777" w:rsidR="00A53268" w:rsidRPr="00827061" w:rsidRDefault="00A53268" w:rsidP="00A53268"/>
    <w:p w14:paraId="7A5D05A6" w14:textId="77777777" w:rsidR="00A53268" w:rsidRPr="000F59F5" w:rsidRDefault="00A53268" w:rsidP="00A53268">
      <w:r w:rsidRPr="00827061">
        <w:t xml:space="preserve">Summarise briefly what happens in </w:t>
      </w:r>
      <w:r w:rsidRPr="000D7F4D">
        <w:rPr>
          <w:b/>
        </w:rPr>
        <w:t>scenes 16-21</w:t>
      </w:r>
      <w:r w:rsidRPr="00827061">
        <w:t>.</w:t>
      </w:r>
      <w:r w:rsidRPr="000B12E5">
        <w:t xml:space="preserve"> </w:t>
      </w:r>
    </w:p>
    <w:p w14:paraId="5DAE9DB9" w14:textId="77777777" w:rsidR="00A53268" w:rsidRPr="000F59F5" w:rsidRDefault="00A53268" w:rsidP="00A53268"/>
    <w:p w14:paraId="0EE5BC1E" w14:textId="77777777" w:rsidR="00A53268" w:rsidRPr="000F59F5" w:rsidRDefault="00A53268" w:rsidP="00A53268">
      <w:r w:rsidRPr="000F59F5">
        <w:t xml:space="preserve">In </w:t>
      </w:r>
      <w:r w:rsidRPr="000D7F4D">
        <w:rPr>
          <w:b/>
        </w:rPr>
        <w:t>scene 22</w:t>
      </w:r>
      <w:r w:rsidRPr="000F59F5">
        <w:t>, the grateful Baron tries to offer the hand of his very willing daughter to the traveller and thereby forces the latter to reveal his true identity. Why does the Fräulein, as the only one in the scene, not see any problem in him being a Jew? (“Ei, was tut das?”, p. 44, line 8) Taking into consideration what we know about her character, what does this suggest about the nature of the laws that prohibit the traveller from marrying her? In this light, what do you think of the Baron’s reaction: “So gibt es denn Fälle, wo uns der Himmel selbst verhindert, dankbar zu sein?” (p. 44, lines 11-12)? What does this suggest about the Baron’s view of the anti-Jewish laws of his time?</w:t>
      </w:r>
    </w:p>
    <w:p w14:paraId="1E6E92AF" w14:textId="77777777" w:rsidR="00A53268" w:rsidRPr="000F59F5" w:rsidRDefault="00A53268" w:rsidP="00A53268"/>
    <w:p w14:paraId="12FDF781" w14:textId="77777777" w:rsidR="00A53268" w:rsidRPr="000F59F5" w:rsidRDefault="00A53268" w:rsidP="00A53268">
      <w:r w:rsidRPr="000F59F5">
        <w:t>The traveller wants nothing from the Baron than that the latter should no longer pass sweeping judgment on all Jews based on prejudice (“Zu aller Vergeltung bitte ich nichts, als dass Sie künftig von meinem Volke etwas gelinder und weniger allgemein urteilen.” (lines 21-22). What do you think, in this light, of the Baron’s reaction: “Oh wie achtungswürdig wären die Juden, wenn sie alle Ihnen glichen!”? Is this a reasonable condition for respect? What do you think the traveller wants to express when he says “Und wie liebenswürdig die Christen, wenn sie alle Ihre Eigenschaften besäßen.” – is this simply a ‘symmetrical’ tit-for-tat reply, or is there a difference between the two statements? And how about Christoph – he professes to having learned something new when he says: “Nein, der Henker! es gibt doch wohl auch Juden, die keine Juden sind.” – is this the change of heart that the traveller was hoping for?</w:t>
      </w:r>
    </w:p>
    <w:p w14:paraId="340CBE9F" w14:textId="77777777" w:rsidR="00A53268" w:rsidRPr="000F59F5" w:rsidRDefault="00A53268" w:rsidP="00A53268"/>
    <w:p w14:paraId="67F99A6C" w14:textId="77777777" w:rsidR="00A53268" w:rsidRPr="000F59F5" w:rsidRDefault="00A53268" w:rsidP="00A53268">
      <w:r w:rsidRPr="000F59F5">
        <w:rPr>
          <w:b/>
        </w:rPr>
        <w:t>Last scene:</w:t>
      </w:r>
      <w:r w:rsidRPr="000F59F5">
        <w:t xml:space="preserve"> This is – at least as regards the characters of Christoph and Lisette – a rather conventional comedy ending: after much confusion, the interested parties finally find each other and the happy end is sealed. What do you think, in comparison, of the ending for the Reisende and the Fräulein? It is against the conventions of comedy that in their case, by contrast, the final revelation and the end of all confusions does not lead to marriage, quite on the contrary. Which point is being made by the contrast in outcome between the two ‘love stories’?</w:t>
      </w:r>
    </w:p>
    <w:p w14:paraId="6DA61811" w14:textId="77777777" w:rsidR="00A53268" w:rsidRPr="000F59F5" w:rsidRDefault="00A53268" w:rsidP="00A53268"/>
    <w:p w14:paraId="17F64787" w14:textId="77777777" w:rsidR="00A53268" w:rsidRPr="000F59F5" w:rsidRDefault="00A53268" w:rsidP="00A53268"/>
    <w:p w14:paraId="5E22C98D" w14:textId="77777777" w:rsidR="00A53268" w:rsidRPr="000F59F5" w:rsidRDefault="00A53268" w:rsidP="00A53268">
      <w:pPr>
        <w:rPr>
          <w:b/>
          <w:u w:val="single"/>
        </w:rPr>
      </w:pPr>
      <w:r w:rsidRPr="000F59F5">
        <w:rPr>
          <w:b/>
          <w:u w:val="single"/>
        </w:rPr>
        <w:t>ALL</w:t>
      </w:r>
    </w:p>
    <w:p w14:paraId="779B194F" w14:textId="77777777" w:rsidR="00A53268" w:rsidRPr="000F59F5" w:rsidRDefault="00A53268" w:rsidP="00A53268"/>
    <w:p w14:paraId="1426EBE8" w14:textId="77777777" w:rsidR="00A53268" w:rsidRPr="000F59F5" w:rsidRDefault="00A53268" w:rsidP="00A53268">
      <w:r w:rsidRPr="000F59F5">
        <w:t xml:space="preserve">In the light of the comments made in the beginning about the titles of comedies, what do you think of the title of Lessing’s play? Why are ‘Die Juden’ in the plural? Whom is the title referring to? </w:t>
      </w:r>
    </w:p>
    <w:p w14:paraId="3434CEAA" w14:textId="77777777" w:rsidR="00A53268" w:rsidRPr="000F59F5" w:rsidRDefault="00A53268" w:rsidP="00A53268"/>
    <w:p w14:paraId="68E9301D" w14:textId="77777777" w:rsidR="00A53268" w:rsidRPr="00645FB0" w:rsidRDefault="00A53268" w:rsidP="00A53268">
      <w:r w:rsidRPr="000F59F5">
        <w:t xml:space="preserve">In most comedies, the audience is invited to identify with the ‘reasonable’ characters and to laugh about the flawed and blinkered ones, safe in the knowledge of their own superiority. Whom is the audience invited to identify with in </w:t>
      </w:r>
      <w:r w:rsidRPr="000F59F5">
        <w:rPr>
          <w:i/>
        </w:rPr>
        <w:t>Die Juden</w:t>
      </w:r>
      <w:r w:rsidRPr="00645FB0">
        <w:t>,</w:t>
      </w:r>
      <w:r w:rsidRPr="000F59F5">
        <w:t xml:space="preserve"> and does that change during the course of the play? Who or what is being satirised? Will the audience laugh as easily at the end of the play as at the beginning?</w:t>
      </w:r>
    </w:p>
    <w:p w14:paraId="54E7B900" w14:textId="77777777" w:rsidR="00A53268" w:rsidRPr="00091BDE" w:rsidRDefault="00A53268" w:rsidP="00A53268"/>
    <w:p w14:paraId="58B1277D" w14:textId="77777777" w:rsidR="00A53268" w:rsidRPr="00091BDE" w:rsidRDefault="00A53268" w:rsidP="00A53268">
      <w:pPr>
        <w:rPr>
          <w:b/>
          <w:sz w:val="22"/>
          <w:szCs w:val="22"/>
          <w:u w:val="single"/>
        </w:rPr>
      </w:pPr>
      <w:r w:rsidRPr="00091BDE">
        <w:rPr>
          <w:b/>
          <w:sz w:val="22"/>
          <w:szCs w:val="22"/>
          <w:u w:val="single"/>
        </w:rPr>
        <w:t>Further reading:</w:t>
      </w:r>
    </w:p>
    <w:p w14:paraId="1F44D53B" w14:textId="77777777" w:rsidR="00A53268" w:rsidRPr="00091BDE" w:rsidRDefault="00A53268" w:rsidP="00A53268">
      <w:pPr>
        <w:rPr>
          <w:b/>
          <w:sz w:val="22"/>
          <w:szCs w:val="22"/>
        </w:rPr>
      </w:pPr>
    </w:p>
    <w:p w14:paraId="2EB504B6" w14:textId="77777777" w:rsidR="00A53268" w:rsidRPr="00091BDE" w:rsidRDefault="00A53268" w:rsidP="00A53268">
      <w:pPr>
        <w:ind w:left="720" w:hanging="720"/>
        <w:rPr>
          <w:sz w:val="22"/>
          <w:szCs w:val="22"/>
          <w:lang w:val="de-DE"/>
        </w:rPr>
      </w:pPr>
      <w:r>
        <w:rPr>
          <w:sz w:val="22"/>
          <w:szCs w:val="22"/>
          <w:lang w:val="de-DE"/>
        </w:rPr>
        <w:t xml:space="preserve">- </w:t>
      </w:r>
      <w:r w:rsidRPr="00091BDE">
        <w:rPr>
          <w:sz w:val="22"/>
          <w:szCs w:val="22"/>
          <w:lang w:val="de-DE"/>
        </w:rPr>
        <w:t xml:space="preserve">Barner, Wilfried, "Vorurteil, Empirie, Rettung: Der junge Lessing und die Juden“, in Herbert A. Strauss and Christhard Hoffmann (eds.), </w:t>
      </w:r>
      <w:r w:rsidRPr="00091BDE">
        <w:rPr>
          <w:i/>
          <w:sz w:val="22"/>
          <w:szCs w:val="22"/>
          <w:lang w:val="de-DE"/>
        </w:rPr>
        <w:t>Juden und Judentum in der Literatur</w:t>
      </w:r>
      <w:r w:rsidRPr="00091BDE">
        <w:rPr>
          <w:sz w:val="22"/>
          <w:szCs w:val="22"/>
          <w:lang w:val="de-DE"/>
        </w:rPr>
        <w:t>, München: Deutscher Taschenbuch Verlag, 1985: 52-77.</w:t>
      </w:r>
    </w:p>
    <w:p w14:paraId="71829082" w14:textId="77777777" w:rsidR="00A53268" w:rsidRPr="00091BDE" w:rsidRDefault="00A53268" w:rsidP="00A53268">
      <w:pPr>
        <w:ind w:left="720" w:hanging="720"/>
        <w:rPr>
          <w:sz w:val="22"/>
          <w:szCs w:val="22"/>
          <w:lang w:val="de-DE"/>
        </w:rPr>
      </w:pPr>
      <w:r w:rsidRPr="00091BDE">
        <w:rPr>
          <w:sz w:val="22"/>
          <w:szCs w:val="22"/>
          <w:lang w:val="de-DE"/>
        </w:rPr>
        <w:t xml:space="preserve">Guthke, Karl S., "Lessings Problemkomödie 'Die Juden'", in Alexander von Bormann (ed.), </w:t>
      </w:r>
      <w:r w:rsidRPr="00091BDE">
        <w:rPr>
          <w:i/>
          <w:sz w:val="22"/>
          <w:szCs w:val="22"/>
          <w:lang w:val="de-DE"/>
        </w:rPr>
        <w:t>Wissen aus Erfahrungen: Werkbegriff und Interpretation heute</w:t>
      </w:r>
      <w:r w:rsidRPr="00091BDE">
        <w:rPr>
          <w:sz w:val="22"/>
          <w:szCs w:val="22"/>
          <w:lang w:val="de-DE"/>
        </w:rPr>
        <w:t>, Tübingen 1976: 122-134.</w:t>
      </w:r>
    </w:p>
    <w:p w14:paraId="38EEB5A0" w14:textId="77777777" w:rsidR="00A53268" w:rsidRPr="00091BDE" w:rsidRDefault="00A53268" w:rsidP="00A53268">
      <w:pPr>
        <w:ind w:left="720" w:hanging="720"/>
        <w:rPr>
          <w:sz w:val="22"/>
          <w:szCs w:val="22"/>
          <w:lang w:val="de-DE"/>
        </w:rPr>
      </w:pPr>
      <w:r w:rsidRPr="00091BDE">
        <w:rPr>
          <w:sz w:val="22"/>
          <w:szCs w:val="22"/>
          <w:lang w:val="de-DE"/>
        </w:rPr>
        <w:t xml:space="preserve">Mayer, Hans, </w:t>
      </w:r>
      <w:r w:rsidRPr="00091BDE">
        <w:rPr>
          <w:i/>
          <w:sz w:val="22"/>
          <w:szCs w:val="22"/>
          <w:lang w:val="de-DE"/>
        </w:rPr>
        <w:t>Aussenseiter</w:t>
      </w:r>
      <w:r w:rsidRPr="00091BDE">
        <w:rPr>
          <w:sz w:val="22"/>
          <w:szCs w:val="22"/>
          <w:lang w:val="de-DE"/>
        </w:rPr>
        <w:t>, Frankfurt am Main: Suhrkamp, 1981: 332-339.</w:t>
      </w:r>
    </w:p>
    <w:p w14:paraId="38BA9244" w14:textId="77777777" w:rsidR="00A53268" w:rsidRPr="00091BDE" w:rsidRDefault="00A53268" w:rsidP="00A53268">
      <w:pPr>
        <w:ind w:left="720" w:hanging="720"/>
        <w:rPr>
          <w:sz w:val="22"/>
          <w:szCs w:val="22"/>
        </w:rPr>
      </w:pPr>
      <w:r w:rsidRPr="00091BDE">
        <w:rPr>
          <w:sz w:val="22"/>
          <w:szCs w:val="22"/>
        </w:rPr>
        <w:t>Robertson, Ritchie</w:t>
      </w:r>
      <w:r w:rsidRPr="00091BDE">
        <w:rPr>
          <w:i/>
          <w:sz w:val="22"/>
          <w:szCs w:val="22"/>
        </w:rPr>
        <w:t>, The 'Jewish Question' in German literature 1749-1939: Emancipation and its discontents</w:t>
      </w:r>
      <w:r w:rsidRPr="00091BDE">
        <w:rPr>
          <w:sz w:val="22"/>
          <w:szCs w:val="22"/>
        </w:rPr>
        <w:t>,  Oxford: Oxford University Press, 1999: 32-36.</w:t>
      </w:r>
    </w:p>
    <w:p w14:paraId="688A1E0E" w14:textId="77777777" w:rsidR="00A53268" w:rsidRPr="00091BDE" w:rsidRDefault="00A53268" w:rsidP="00A53268">
      <w:pPr>
        <w:ind w:left="720" w:hanging="720"/>
        <w:rPr>
          <w:sz w:val="22"/>
          <w:szCs w:val="22"/>
          <w:lang w:val="de-DE"/>
        </w:rPr>
      </w:pPr>
      <w:r w:rsidRPr="00091BDE">
        <w:rPr>
          <w:sz w:val="22"/>
          <w:szCs w:val="22"/>
          <w:lang w:val="de-DE"/>
        </w:rPr>
        <w:t xml:space="preserve">Stenzel, Jürgen, "Idealisierung und Vorurteil: Zur Figur des 'edlen Juden' in der deutschen Literatur des 19. Jahrhunderts", in Stephane Moses and Albrecht Schöne (eds.), </w:t>
      </w:r>
      <w:r w:rsidRPr="00091BDE">
        <w:rPr>
          <w:i/>
          <w:sz w:val="22"/>
          <w:szCs w:val="22"/>
          <w:lang w:val="de-DE"/>
        </w:rPr>
        <w:t>Juden in der deutschen Literatur</w:t>
      </w:r>
      <w:r w:rsidRPr="00091BDE">
        <w:rPr>
          <w:sz w:val="22"/>
          <w:szCs w:val="22"/>
          <w:lang w:val="de-DE"/>
        </w:rPr>
        <w:t>, Frankfurt am Main: Suhrkamp, 1986:114-126.</w:t>
      </w:r>
    </w:p>
    <w:p w14:paraId="15AFF9BF" w14:textId="77777777" w:rsidR="00A53268" w:rsidRPr="00091BDE" w:rsidRDefault="00A53268" w:rsidP="00A53268">
      <w:pPr>
        <w:ind w:left="720" w:hanging="720"/>
        <w:rPr>
          <w:sz w:val="22"/>
          <w:szCs w:val="22"/>
          <w:lang w:val="de-DE"/>
        </w:rPr>
      </w:pPr>
      <w:r w:rsidRPr="00091BDE">
        <w:rPr>
          <w:sz w:val="22"/>
          <w:szCs w:val="22"/>
          <w:lang w:val="de-DE"/>
        </w:rPr>
        <w:t xml:space="preserve">Trautwein, Wolfgang, "Zwischen Typenlustspiel und ernster Komödie", in </w:t>
      </w:r>
      <w:r w:rsidRPr="00091BDE">
        <w:rPr>
          <w:i/>
          <w:sz w:val="22"/>
          <w:szCs w:val="22"/>
          <w:lang w:val="de-DE"/>
        </w:rPr>
        <w:t>Jahrbuch der deutschen Schillergesellschaft</w:t>
      </w:r>
      <w:r w:rsidRPr="00091BDE">
        <w:rPr>
          <w:sz w:val="22"/>
          <w:szCs w:val="22"/>
          <w:lang w:val="de-DE"/>
        </w:rPr>
        <w:t xml:space="preserve"> 24 (1980): 1-15.</w:t>
      </w:r>
      <w:r w:rsidRPr="00091BDE">
        <w:rPr>
          <w:sz w:val="22"/>
          <w:szCs w:val="22"/>
          <w:lang w:val="de-DE"/>
        </w:rPr>
        <w:br/>
      </w:r>
    </w:p>
    <w:p w14:paraId="1B0CD521" w14:textId="77777777" w:rsidR="00A53268" w:rsidRDefault="00A53268">
      <w:pPr>
        <w:spacing w:line="240" w:lineRule="auto"/>
        <w:rPr>
          <w:b/>
          <w:sz w:val="36"/>
          <w:szCs w:val="36"/>
        </w:rPr>
      </w:pPr>
      <w:r>
        <w:rPr>
          <w:b/>
          <w:sz w:val="36"/>
          <w:szCs w:val="36"/>
        </w:rPr>
        <w:br w:type="page"/>
      </w:r>
    </w:p>
    <w:p w14:paraId="56590411" w14:textId="77777777" w:rsidR="00A53268" w:rsidRPr="001524A0" w:rsidRDefault="00A53268" w:rsidP="00A53268">
      <w:pPr>
        <w:jc w:val="center"/>
        <w:rPr>
          <w:rFonts w:cs="Times New Roman"/>
          <w:b/>
        </w:rPr>
      </w:pPr>
      <w:r w:rsidRPr="001524A0">
        <w:rPr>
          <w:rFonts w:cs="Times New Roman"/>
          <w:b/>
        </w:rPr>
        <w:t>GE 207 German Culture in the Age of Revolution, 1789-1848</w:t>
      </w:r>
    </w:p>
    <w:p w14:paraId="2FFDD90B" w14:textId="77777777" w:rsidR="00A53268" w:rsidRPr="001524A0" w:rsidRDefault="00A53268" w:rsidP="00A53268">
      <w:pPr>
        <w:jc w:val="center"/>
        <w:rPr>
          <w:rFonts w:cs="Times New Roman"/>
          <w:b/>
        </w:rPr>
      </w:pPr>
      <w:r w:rsidRPr="001524A0">
        <w:rPr>
          <w:rFonts w:cs="Times New Roman"/>
          <w:b/>
        </w:rPr>
        <w:t>Week 4</w:t>
      </w:r>
      <w:r>
        <w:rPr>
          <w:rFonts w:cs="Times New Roman"/>
          <w:b/>
        </w:rPr>
        <w:t>,</w:t>
      </w:r>
      <w:r w:rsidRPr="001524A0">
        <w:rPr>
          <w:rFonts w:cs="Times New Roman"/>
          <w:b/>
        </w:rPr>
        <w:t xml:space="preserve"> worksheet</w:t>
      </w:r>
    </w:p>
    <w:p w14:paraId="387C3ECF" w14:textId="77777777" w:rsidR="00A53268" w:rsidRPr="001524A0" w:rsidRDefault="00A53268" w:rsidP="00A53268">
      <w:pPr>
        <w:jc w:val="center"/>
        <w:rPr>
          <w:rFonts w:cs="Times New Roman"/>
          <w:b/>
        </w:rPr>
      </w:pPr>
      <w:r w:rsidRPr="001524A0">
        <w:rPr>
          <w:rFonts w:cs="Times New Roman"/>
          <w:b/>
        </w:rPr>
        <w:t>Too different for equal rights? Enlightenment Debates on Women’s Status in Society</w:t>
      </w:r>
    </w:p>
    <w:p w14:paraId="11824D70" w14:textId="77777777" w:rsidR="00A53268" w:rsidRPr="001524A0" w:rsidRDefault="00A53268" w:rsidP="00A53268">
      <w:pPr>
        <w:jc w:val="center"/>
        <w:rPr>
          <w:rFonts w:cs="Times New Roman"/>
          <w:b/>
        </w:rPr>
      </w:pPr>
      <w:r w:rsidRPr="001524A0">
        <w:rPr>
          <w:rFonts w:cs="Times New Roman"/>
          <w:b/>
        </w:rPr>
        <w:t xml:space="preserve">Friedrich Schiller, </w:t>
      </w:r>
      <w:r w:rsidRPr="001524A0">
        <w:rPr>
          <w:rFonts w:cs="Times New Roman"/>
          <w:b/>
          <w:i/>
          <w:iCs/>
        </w:rPr>
        <w:t>Maria Stuart</w:t>
      </w:r>
      <w:r w:rsidRPr="001524A0">
        <w:rPr>
          <w:rFonts w:cs="Times New Roman"/>
          <w:b/>
        </w:rPr>
        <w:t xml:space="preserve"> (1800)</w:t>
      </w:r>
    </w:p>
    <w:p w14:paraId="4EE18B0B" w14:textId="77777777" w:rsidR="00A53268" w:rsidRPr="001524A0" w:rsidRDefault="00A53268" w:rsidP="00A53268">
      <w:pPr>
        <w:rPr>
          <w:rFonts w:cs="Times New Roman"/>
          <w:bCs/>
        </w:rPr>
      </w:pPr>
    </w:p>
    <w:p w14:paraId="3D9FF82B" w14:textId="77777777" w:rsidR="00A53268" w:rsidRPr="001524A0" w:rsidRDefault="00A53268" w:rsidP="00A53268">
      <w:pPr>
        <w:rPr>
          <w:rFonts w:cs="Times New Roman"/>
          <w:b/>
        </w:rPr>
      </w:pPr>
      <w:r w:rsidRPr="00285C40">
        <w:rPr>
          <w:rFonts w:cs="Times New Roman"/>
          <w:b/>
          <w:u w:val="single"/>
        </w:rPr>
        <w:t>Group 1</w:t>
      </w:r>
      <w:r w:rsidRPr="001524A0">
        <w:rPr>
          <w:rFonts w:cs="Times New Roman"/>
          <w:b/>
        </w:rPr>
        <w:tab/>
        <w:t>Social roles and religion</w:t>
      </w:r>
    </w:p>
    <w:p w14:paraId="3D0054ED" w14:textId="77777777" w:rsidR="00A53268" w:rsidRPr="001524A0" w:rsidRDefault="00A53268" w:rsidP="00A53268">
      <w:pPr>
        <w:rPr>
          <w:rFonts w:cs="Times New Roman"/>
          <w:bCs/>
        </w:rPr>
      </w:pPr>
      <w:r w:rsidRPr="001524A0">
        <w:rPr>
          <w:rFonts w:cs="Times New Roman"/>
          <w:bCs/>
        </w:rPr>
        <w:t>In the play, Schiller sets up a number of contrasts between the two main female characters. Try and identify not only the differences, but also the similarities between the two figures with respect to:</w:t>
      </w:r>
    </w:p>
    <w:p w14:paraId="50C6D0A1" w14:textId="77777777" w:rsidR="00A53268" w:rsidRPr="001524A0" w:rsidRDefault="00A53268" w:rsidP="00A53268">
      <w:pPr>
        <w:rPr>
          <w:rFonts w:cs="Times New Roman"/>
          <w:bCs/>
        </w:rPr>
      </w:pPr>
      <w:r w:rsidRPr="001524A0">
        <w:rPr>
          <w:rFonts w:cs="Times New Roman"/>
          <w:bCs/>
        </w:rPr>
        <w:t>(a) their different backgrounds, upbringing, and rank; their current situation in society and their behaviour towards the people around them and towards each other (is it static and unchanging, or does it develop/change? And if so, how do they adapt their behaviour to fit different situations?)</w:t>
      </w:r>
    </w:p>
    <w:p w14:paraId="763E83BB" w14:textId="77777777" w:rsidR="00A53268" w:rsidRPr="001524A0" w:rsidRDefault="00A53268" w:rsidP="00A53268">
      <w:pPr>
        <w:rPr>
          <w:rFonts w:cs="Times New Roman"/>
          <w:bCs/>
        </w:rPr>
      </w:pPr>
      <w:r w:rsidRPr="001524A0">
        <w:rPr>
          <w:rFonts w:cs="Times New Roman"/>
          <w:bCs/>
        </w:rPr>
        <w:t xml:space="preserve">There is a lot of evidence in the text, but you may want to look carefully at the following pages/scenes in particular (page references are to the Reclam edition of the play): p. 10; p. 27, lines 695-706; p. 35, lines 961-974; p. 78, lines 2241-2256; p. 79, lines 2278-2287; p. 83, lines 2403-2411; p. 84, lines 2447-2452; p. 100, lines 2847-285; p. 111, lines 3139-31350. </w:t>
      </w:r>
    </w:p>
    <w:p w14:paraId="57509591" w14:textId="77777777" w:rsidR="00A53268" w:rsidRPr="001524A0" w:rsidRDefault="00A53268" w:rsidP="00A53268">
      <w:pPr>
        <w:rPr>
          <w:rFonts w:cs="Times New Roman"/>
          <w:bCs/>
        </w:rPr>
      </w:pPr>
      <w:r w:rsidRPr="001524A0">
        <w:rPr>
          <w:rFonts w:cs="Times New Roman"/>
          <w:bCs/>
        </w:rPr>
        <w:t>(b) the opposition between Catholicism and Protestantism. What is the essential difference between the two faiths? Does Schiller favour one over the other or can you identify positive as well as negative criticism regarding both?</w:t>
      </w:r>
    </w:p>
    <w:p w14:paraId="4986C699" w14:textId="77777777" w:rsidR="00A53268" w:rsidRPr="001524A0" w:rsidRDefault="00A53268" w:rsidP="00A53268">
      <w:pPr>
        <w:rPr>
          <w:rFonts w:cs="Times New Roman"/>
          <w:bCs/>
        </w:rPr>
      </w:pPr>
      <w:r w:rsidRPr="001524A0">
        <w:rPr>
          <w:rFonts w:cs="Times New Roman"/>
          <w:bCs/>
        </w:rPr>
        <w:t>There is a lot of evidence in the text but you may want to look carefully at the following pages/scenes in particular: p. 14, lines 281-285; p. 18, lines 409-424; p. 29, lines 773-786; p. 30, lines 801-805; p. 86, lines 2502-2509; p. 2521-2526; p. 126, lines 3520-352; p.136, lines 3815-3818.</w:t>
      </w:r>
    </w:p>
    <w:p w14:paraId="527DBD23" w14:textId="77777777" w:rsidR="00A53268" w:rsidRPr="001524A0" w:rsidRDefault="00A53268" w:rsidP="00A53268">
      <w:pPr>
        <w:rPr>
          <w:rFonts w:cs="Times New Roman"/>
          <w:bCs/>
        </w:rPr>
      </w:pPr>
    </w:p>
    <w:p w14:paraId="3CCDD496" w14:textId="77777777" w:rsidR="00A53268" w:rsidRPr="001524A0" w:rsidRDefault="00A53268" w:rsidP="00A53268">
      <w:pPr>
        <w:rPr>
          <w:rFonts w:cs="Times New Roman"/>
          <w:b/>
        </w:rPr>
      </w:pPr>
      <w:r w:rsidRPr="00285C40">
        <w:rPr>
          <w:rFonts w:cs="Times New Roman"/>
          <w:b/>
          <w:u w:val="single"/>
        </w:rPr>
        <w:t>Group 2</w:t>
      </w:r>
      <w:r w:rsidRPr="001524A0">
        <w:rPr>
          <w:rFonts w:cs="Times New Roman"/>
          <w:b/>
        </w:rPr>
        <w:tab/>
        <w:t>The political and the personal</w:t>
      </w:r>
    </w:p>
    <w:p w14:paraId="3F615569" w14:textId="77777777" w:rsidR="00A53268" w:rsidRPr="001524A0" w:rsidRDefault="00A53268" w:rsidP="00A53268">
      <w:pPr>
        <w:rPr>
          <w:rFonts w:cs="Times New Roman"/>
          <w:bCs/>
        </w:rPr>
      </w:pPr>
      <w:r w:rsidRPr="001524A0">
        <w:rPr>
          <w:rFonts w:cs="Times New Roman"/>
          <w:bCs/>
        </w:rPr>
        <w:t>In the play, Schiller sets up a number of contrasts between the two main female characters. Try and identify not only the differences, but also the similarities between the two figures with respect to:</w:t>
      </w:r>
    </w:p>
    <w:p w14:paraId="14166B99" w14:textId="77777777" w:rsidR="00A53268" w:rsidRPr="001524A0" w:rsidRDefault="00A53268" w:rsidP="00A53268">
      <w:pPr>
        <w:rPr>
          <w:rFonts w:cs="Times New Roman"/>
          <w:bCs/>
        </w:rPr>
      </w:pPr>
      <w:r w:rsidRPr="001524A0">
        <w:rPr>
          <w:rFonts w:cs="Times New Roman"/>
          <w:bCs/>
        </w:rPr>
        <w:t>(a) their political rivalry. Why do both of them claim to be the legitimite monarch and what kind of arguments do they put forward to justify their respective claims? Whose arguments do you find the most convincing and why?</w:t>
      </w:r>
    </w:p>
    <w:p w14:paraId="3B2A86E0" w14:textId="77777777" w:rsidR="00A53268" w:rsidRPr="001524A0" w:rsidRDefault="00A53268" w:rsidP="00A53268">
      <w:pPr>
        <w:rPr>
          <w:rFonts w:cs="Times New Roman"/>
          <w:bCs/>
        </w:rPr>
      </w:pPr>
      <w:r w:rsidRPr="001524A0">
        <w:rPr>
          <w:rFonts w:cs="Times New Roman"/>
          <w:bCs/>
        </w:rPr>
        <w:t>There is a lot of evidence in the text but you may want to look carefully at the following pages/scenes in particular: p. 7, lines 63-68; p. 8, lines 98-104; p. 21, lines 518-532; p. 30, lines 820-828; p. 84, lines2447-2452; p.113, lines 3212-3224.</w:t>
      </w:r>
    </w:p>
    <w:p w14:paraId="6985255A" w14:textId="77777777" w:rsidR="00A53268" w:rsidRPr="001524A0" w:rsidRDefault="00A53268" w:rsidP="00A53268">
      <w:pPr>
        <w:rPr>
          <w:rFonts w:cs="Times New Roman"/>
          <w:bCs/>
        </w:rPr>
      </w:pPr>
    </w:p>
    <w:p w14:paraId="33F6CFB4" w14:textId="77777777" w:rsidR="00A53268" w:rsidRPr="001524A0" w:rsidRDefault="00A53268" w:rsidP="00A53268">
      <w:pPr>
        <w:rPr>
          <w:rFonts w:cs="Times New Roman"/>
          <w:bCs/>
        </w:rPr>
      </w:pPr>
      <w:r w:rsidRPr="001524A0">
        <w:rPr>
          <w:rFonts w:cs="Times New Roman"/>
          <w:bCs/>
        </w:rPr>
        <w:t xml:space="preserve">(b) their private/personal rivalry. Look, in particular at the following relationships: </w:t>
      </w:r>
    </w:p>
    <w:p w14:paraId="1E8AF659" w14:textId="77777777" w:rsidR="00A53268" w:rsidRPr="001524A0" w:rsidRDefault="00A53268" w:rsidP="00A53268">
      <w:pPr>
        <w:numPr>
          <w:ilvl w:val="0"/>
          <w:numId w:val="6"/>
        </w:numPr>
        <w:spacing w:after="200" w:line="276" w:lineRule="auto"/>
        <w:rPr>
          <w:rFonts w:cs="Times New Roman"/>
          <w:bCs/>
        </w:rPr>
      </w:pPr>
      <w:r w:rsidRPr="001524A0">
        <w:rPr>
          <w:rFonts w:cs="Times New Roman"/>
          <w:bCs/>
        </w:rPr>
        <w:t>Maria’s past relationship with her husbands Darnley/Boswell</w:t>
      </w:r>
    </w:p>
    <w:p w14:paraId="54197286" w14:textId="77777777" w:rsidR="00A53268" w:rsidRPr="001524A0" w:rsidRDefault="00A53268" w:rsidP="00A53268">
      <w:pPr>
        <w:numPr>
          <w:ilvl w:val="0"/>
          <w:numId w:val="6"/>
        </w:numPr>
        <w:spacing w:after="200" w:line="276" w:lineRule="auto"/>
        <w:rPr>
          <w:rFonts w:cs="Times New Roman"/>
          <w:bCs/>
        </w:rPr>
      </w:pPr>
      <w:r w:rsidRPr="001524A0">
        <w:rPr>
          <w:rFonts w:cs="Times New Roman"/>
          <w:bCs/>
        </w:rPr>
        <w:t>the relationships between Mortimer and both Maria and Elisabeth</w:t>
      </w:r>
    </w:p>
    <w:p w14:paraId="6F4B4F60" w14:textId="77777777" w:rsidR="00A53268" w:rsidRPr="001524A0" w:rsidRDefault="00A53268" w:rsidP="00A53268">
      <w:pPr>
        <w:numPr>
          <w:ilvl w:val="0"/>
          <w:numId w:val="6"/>
        </w:numPr>
        <w:spacing w:after="200" w:line="276" w:lineRule="auto"/>
        <w:rPr>
          <w:rFonts w:cs="Times New Roman"/>
          <w:bCs/>
        </w:rPr>
      </w:pPr>
      <w:r w:rsidRPr="001524A0">
        <w:rPr>
          <w:rFonts w:cs="Times New Roman"/>
          <w:bCs/>
        </w:rPr>
        <w:t xml:space="preserve">between Leicester and both Maria and Elisabeth </w:t>
      </w:r>
    </w:p>
    <w:p w14:paraId="373107C4" w14:textId="77777777" w:rsidR="00A53268" w:rsidRPr="001524A0" w:rsidRDefault="00A53268" w:rsidP="00A53268">
      <w:pPr>
        <w:numPr>
          <w:ilvl w:val="0"/>
          <w:numId w:val="6"/>
        </w:numPr>
        <w:spacing w:after="200" w:line="276" w:lineRule="auto"/>
        <w:rPr>
          <w:rFonts w:cs="Times New Roman"/>
          <w:bCs/>
        </w:rPr>
      </w:pPr>
      <w:r w:rsidRPr="001524A0">
        <w:rPr>
          <w:rFonts w:cs="Times New Roman"/>
          <w:bCs/>
        </w:rPr>
        <w:t>Elisabeth’s ‘relationship’ with the French Prince</w:t>
      </w:r>
    </w:p>
    <w:p w14:paraId="6F03C7A3" w14:textId="77777777" w:rsidR="00A53268" w:rsidRPr="001524A0" w:rsidRDefault="00A53268" w:rsidP="00A53268">
      <w:pPr>
        <w:rPr>
          <w:rFonts w:cs="Times New Roman"/>
          <w:bCs/>
        </w:rPr>
      </w:pPr>
    </w:p>
    <w:p w14:paraId="7F0EA575" w14:textId="77777777" w:rsidR="00A53268" w:rsidRPr="001524A0" w:rsidRDefault="00A53268" w:rsidP="00A53268">
      <w:pPr>
        <w:rPr>
          <w:rFonts w:cs="Times New Roman"/>
          <w:bCs/>
        </w:rPr>
      </w:pPr>
      <w:r w:rsidRPr="001524A0">
        <w:rPr>
          <w:rFonts w:cs="Times New Roman"/>
          <w:bCs/>
        </w:rPr>
        <w:t>There is a lot of evidence in the text but you may want to look carefully at the following pages/scenes in particular: p. 13, lines 264-275; p. 15, lines 316-330; p. 25, lines 633-640; p. 87, lines 2528-2548; p. 89, lines 2580-2591; p. 98, lines 2816-2822; p. 61, lines 1758-1766; p. 67, lines, 1949-1951; p. 69, lines 1995 and 2012; p. 71, lines 2065-2073; p.145, lines 4035-end; p. 41, line 1155-1157; p. 43, lines 1210-1223; p. 44, lines 1234-1236; p. 93, lines 2681-2684.</w:t>
      </w:r>
    </w:p>
    <w:p w14:paraId="6FEE7369" w14:textId="77777777" w:rsidR="00A53268" w:rsidRPr="001524A0" w:rsidRDefault="00A53268" w:rsidP="00A53268">
      <w:pPr>
        <w:rPr>
          <w:rFonts w:cs="Times New Roman"/>
          <w:bCs/>
        </w:rPr>
      </w:pPr>
    </w:p>
    <w:p w14:paraId="29CE715E" w14:textId="77777777" w:rsidR="00A53268" w:rsidRPr="001524A0" w:rsidRDefault="00A53268" w:rsidP="00A53268">
      <w:pPr>
        <w:rPr>
          <w:rFonts w:cs="Times New Roman"/>
          <w:b/>
        </w:rPr>
      </w:pPr>
      <w:r w:rsidRPr="00285C40">
        <w:rPr>
          <w:rFonts w:cs="Times New Roman"/>
          <w:b/>
          <w:u w:val="single"/>
        </w:rPr>
        <w:t>Group 3</w:t>
      </w:r>
      <w:r w:rsidRPr="001524A0">
        <w:rPr>
          <w:rFonts w:cs="Times New Roman"/>
          <w:b/>
        </w:rPr>
        <w:tab/>
        <w:t>Gender and power</w:t>
      </w:r>
    </w:p>
    <w:p w14:paraId="6FDFDE1D" w14:textId="77777777" w:rsidR="00A53268" w:rsidRPr="001524A0" w:rsidRDefault="00A53268" w:rsidP="00A53268">
      <w:pPr>
        <w:rPr>
          <w:rFonts w:cs="Times New Roman"/>
          <w:bCs/>
        </w:rPr>
      </w:pPr>
      <w:r w:rsidRPr="001524A0">
        <w:rPr>
          <w:rFonts w:cs="Times New Roman"/>
          <w:bCs/>
        </w:rPr>
        <w:t>In the play we are presented with a range of different persepctives on gender. Despite being monarchs, both women are often dependent on the support of men, and more often than not, gender stereotyping impacts upon the way both they and those around them see them in their capacity as (a) monarchs/rulers, and (b) women. How do the various men (Burleigh, Talbot, Mortimer, Leicester) exercise their influence over them? How do both Maria and Elisabeth see themselves in their roles as women and as figures of political authority? To what extent are these roles in conflict with one another? What are the difficulties they face in combining the two?</w:t>
      </w:r>
    </w:p>
    <w:p w14:paraId="7A58FCDC" w14:textId="77777777" w:rsidR="00FF5DB7" w:rsidRDefault="00A53268" w:rsidP="00A53268">
      <w:pPr>
        <w:rPr>
          <w:rFonts w:cs="Times New Roman"/>
          <w:bCs/>
        </w:rPr>
      </w:pPr>
      <w:r w:rsidRPr="001524A0">
        <w:rPr>
          <w:rFonts w:cs="Times New Roman"/>
          <w:bCs/>
        </w:rPr>
        <w:t>There is a lot of evidence in the text but you may want to look carefully at the following pages/scenes in particular: p. 29, lines 761-765; p. 36, lines 1018-1025; p. 39, lines 1097-1114; p. 42, lines 1166-1184; p. 47, lines 1340-1347; p. 48, lines 1372-1376 and 1388-1397; p. 57, lines 1645-1656, p. 62, lines 1781-1793; p. 68-1964-1992; p. 2044-2052; p. 99, lines 2822-2831; p.100, lines 2846-2855 and 2865-2866; p. 101, lines 2872-2878; p. 112, lines 3185-3187; p. 3217-3224.</w:t>
      </w:r>
    </w:p>
    <w:p w14:paraId="42E98DB7" w14:textId="77777777" w:rsidR="00FF5DB7" w:rsidRDefault="00FF5DB7" w:rsidP="00FF5DB7">
      <w:pPr>
        <w:jc w:val="center"/>
        <w:rPr>
          <w:rFonts w:cs="Times New Roman"/>
          <w:b/>
          <w:bCs/>
        </w:rPr>
      </w:pPr>
      <w:r>
        <w:rPr>
          <w:rFonts w:cs="Times New Roman"/>
          <w:bCs/>
        </w:rPr>
        <w:br w:type="page"/>
      </w:r>
      <w:r>
        <w:rPr>
          <w:rFonts w:cs="Times New Roman"/>
          <w:b/>
          <w:bCs/>
        </w:rPr>
        <w:t>German Culture in the Age of Revolution, 1789-1848</w:t>
      </w:r>
    </w:p>
    <w:p w14:paraId="14EE80D2" w14:textId="77777777" w:rsidR="00FF5DB7" w:rsidRDefault="00FF5DB7" w:rsidP="00FF5DB7">
      <w:pPr>
        <w:jc w:val="center"/>
        <w:rPr>
          <w:rFonts w:cs="Times New Roman"/>
          <w:b/>
          <w:bCs/>
        </w:rPr>
      </w:pPr>
      <w:r>
        <w:rPr>
          <w:rFonts w:cs="Times New Roman"/>
          <w:b/>
          <w:bCs/>
        </w:rPr>
        <w:t>Week 5, worksheet</w:t>
      </w:r>
    </w:p>
    <w:p w14:paraId="1CD0BBE0" w14:textId="77777777" w:rsidR="00FF5DB7" w:rsidRDefault="00FF5DB7" w:rsidP="00FF5DB7">
      <w:pPr>
        <w:jc w:val="center"/>
        <w:rPr>
          <w:rFonts w:cs="Times New Roman"/>
          <w:b/>
          <w:bCs/>
        </w:rPr>
      </w:pPr>
      <w:r>
        <w:rPr>
          <w:rFonts w:cs="Times New Roman"/>
          <w:b/>
          <w:bCs/>
        </w:rPr>
        <w:t>Too different for equal rights? Enlightenment Debates on Women’s Status in Society</w:t>
      </w:r>
    </w:p>
    <w:p w14:paraId="0EC45413" w14:textId="77777777" w:rsidR="00FF5DB7" w:rsidRPr="002113B3" w:rsidRDefault="00FF5DB7" w:rsidP="00FF5DB7">
      <w:pPr>
        <w:jc w:val="center"/>
        <w:rPr>
          <w:rFonts w:cs="Times New Roman"/>
          <w:b/>
          <w:bCs/>
        </w:rPr>
      </w:pPr>
      <w:r>
        <w:rPr>
          <w:rFonts w:cs="Times New Roman"/>
          <w:b/>
          <w:bCs/>
        </w:rPr>
        <w:t xml:space="preserve">Friedrich Schiller, </w:t>
      </w:r>
      <w:r>
        <w:rPr>
          <w:rFonts w:cs="Times New Roman"/>
          <w:b/>
          <w:bCs/>
          <w:i/>
          <w:iCs/>
        </w:rPr>
        <w:t>Maria Stuart</w:t>
      </w:r>
      <w:r>
        <w:rPr>
          <w:rFonts w:cs="Times New Roman"/>
          <w:b/>
          <w:bCs/>
        </w:rPr>
        <w:t xml:space="preserve"> (1800)</w:t>
      </w:r>
    </w:p>
    <w:p w14:paraId="1CDA0C42" w14:textId="77777777" w:rsidR="00FF5DB7" w:rsidRPr="00285C40" w:rsidRDefault="00FF5DB7" w:rsidP="00FF5DB7">
      <w:pPr>
        <w:jc w:val="both"/>
        <w:rPr>
          <w:rFonts w:cs="Times New Roman"/>
          <w:b/>
          <w:bCs/>
          <w:u w:val="single"/>
        </w:rPr>
      </w:pPr>
      <w:r w:rsidRPr="00285C40">
        <w:rPr>
          <w:rFonts w:cs="Times New Roman"/>
          <w:b/>
          <w:bCs/>
          <w:u w:val="single"/>
        </w:rPr>
        <w:t>Group 1</w:t>
      </w:r>
    </w:p>
    <w:p w14:paraId="74151205" w14:textId="77777777" w:rsidR="00FF5DB7" w:rsidRPr="002113B3" w:rsidRDefault="00FF5DB7" w:rsidP="00FF5DB7">
      <w:pPr>
        <w:jc w:val="both"/>
        <w:rPr>
          <w:rFonts w:cs="Times New Roman"/>
          <w:b/>
          <w:bCs/>
        </w:rPr>
      </w:pPr>
      <w:r w:rsidRPr="002113B3">
        <w:rPr>
          <w:rFonts w:cs="Times New Roman"/>
          <w:b/>
          <w:bCs/>
        </w:rPr>
        <w:t>Maria’s death: guilt and responsibility</w:t>
      </w:r>
    </w:p>
    <w:p w14:paraId="6761460C" w14:textId="77777777" w:rsidR="00FF5DB7" w:rsidRPr="003254A3" w:rsidRDefault="00FF5DB7" w:rsidP="00FF5DB7">
      <w:pPr>
        <w:jc w:val="both"/>
        <w:rPr>
          <w:rFonts w:cs="Times New Roman"/>
        </w:rPr>
      </w:pPr>
      <w:r w:rsidRPr="003254A3">
        <w:rPr>
          <w:rFonts w:cs="Times New Roman"/>
        </w:rPr>
        <w:t>What is it that brings about Maria’s death? Can we identify any particular individuals as having specific responsibility for Maria’s death (and, if so, in what way)? Consider the following individual characters and make a list of bullet points that summarise their responsibility/ lack of responsibility for Maria’s death: Elisabeth; Burleigh; Leicester; Mortimer; Davison; and Maria. Comment on the way Elisabeth reacts to the news that Maria has been executed. In formulating your response you should take a close look at Act 5, Scene 14, lines 3960-3994; and the final scene of the play, lines 3995-4032. Why is Maria able to accept her death sentence despite denying that she was involved in any plot against Elisabeth? Take a close look at Act 5, Scene 7, lines 3649-3764.</w:t>
      </w:r>
    </w:p>
    <w:p w14:paraId="19C91A7F" w14:textId="77777777" w:rsidR="00FF5DB7" w:rsidRPr="002113B3" w:rsidRDefault="00FF5DB7" w:rsidP="00FF5DB7">
      <w:pPr>
        <w:jc w:val="both"/>
        <w:rPr>
          <w:rFonts w:cs="Times New Roman"/>
          <w:b/>
          <w:bCs/>
        </w:rPr>
      </w:pPr>
    </w:p>
    <w:p w14:paraId="530A2F56" w14:textId="77777777" w:rsidR="00FF5DB7" w:rsidRPr="00285C40" w:rsidRDefault="00FF5DB7" w:rsidP="00FF5DB7">
      <w:pPr>
        <w:jc w:val="both"/>
        <w:rPr>
          <w:rFonts w:cs="Times New Roman"/>
          <w:b/>
          <w:bCs/>
          <w:u w:val="single"/>
        </w:rPr>
      </w:pPr>
      <w:r w:rsidRPr="00285C40">
        <w:rPr>
          <w:rFonts w:cs="Times New Roman"/>
          <w:b/>
          <w:bCs/>
          <w:u w:val="single"/>
        </w:rPr>
        <w:t>Group 2</w:t>
      </w:r>
    </w:p>
    <w:p w14:paraId="48C6CEBB" w14:textId="77777777" w:rsidR="00FF5DB7" w:rsidRPr="002113B3" w:rsidRDefault="00FF5DB7" w:rsidP="00FF5DB7">
      <w:pPr>
        <w:jc w:val="both"/>
        <w:rPr>
          <w:rFonts w:cs="Times New Roman"/>
          <w:b/>
          <w:bCs/>
        </w:rPr>
      </w:pPr>
      <w:r w:rsidRPr="002113B3">
        <w:rPr>
          <w:rFonts w:cs="Times New Roman"/>
          <w:b/>
          <w:bCs/>
        </w:rPr>
        <w:t>Schiller’s aesthetic theory and demands of drama</w:t>
      </w:r>
    </w:p>
    <w:p w14:paraId="0DF5C9A2" w14:textId="77777777" w:rsidR="00FF5DB7" w:rsidRPr="003254A3" w:rsidRDefault="00FF5DB7" w:rsidP="00FF5DB7">
      <w:pPr>
        <w:jc w:val="both"/>
        <w:rPr>
          <w:rFonts w:cs="Times New Roman"/>
        </w:rPr>
      </w:pPr>
      <w:r w:rsidRPr="003254A3">
        <w:rPr>
          <w:rFonts w:cs="Times New Roman"/>
        </w:rPr>
        <w:t xml:space="preserve">Think about the discussion of Schiller’s concept of the ‘schöne Seele’ in the lecture. If we define a ‘schöne Seele’ as a being in a state of genuine freedom in which there is no conflict between body and mind, and no conflict between natural impulses and the dictates of reason, to what extent can Maria be seen as an example of a ‘schöne Seele’. In what ways can Maria be regarded as ‘free’ as she is forced to confront the fact that she is going to die; and to what extent is Elisabeth ‘unfree’ even though she has finally succeded in eliminating her political rival/opponent, Maria. Take a close look at the following: Act 5, Scene 6 (especially the stage instructions) and lines 3479-3458; Act 5, Scene 9, (stage instructions!), lines 3815-3838; and the final scene of Act 5, lines 3994-end. Do you think Maria’s behaviour is sincere/genuine? Or do you think she is putting on a show and that there is an element of performance in what she does? (Justify your answer!). </w:t>
      </w:r>
    </w:p>
    <w:p w14:paraId="2944FC55" w14:textId="77777777" w:rsidR="00FF5DB7" w:rsidRPr="002113B3" w:rsidRDefault="00FF5DB7" w:rsidP="00FF5DB7">
      <w:pPr>
        <w:jc w:val="both"/>
        <w:rPr>
          <w:rFonts w:cs="Times New Roman"/>
          <w:b/>
          <w:bCs/>
        </w:rPr>
      </w:pPr>
    </w:p>
    <w:p w14:paraId="5229B5E2" w14:textId="77777777" w:rsidR="00285C40" w:rsidRDefault="00285C40">
      <w:pPr>
        <w:spacing w:line="240" w:lineRule="auto"/>
        <w:rPr>
          <w:rFonts w:cs="Times New Roman"/>
          <w:b/>
          <w:bCs/>
        </w:rPr>
      </w:pPr>
      <w:r>
        <w:rPr>
          <w:rFonts w:cs="Times New Roman"/>
          <w:b/>
          <w:bCs/>
        </w:rPr>
        <w:br w:type="page"/>
      </w:r>
    </w:p>
    <w:p w14:paraId="5691105C" w14:textId="4ECAB90B" w:rsidR="00FF5DB7" w:rsidRPr="00285C40" w:rsidRDefault="00FF5DB7" w:rsidP="00FF5DB7">
      <w:pPr>
        <w:jc w:val="both"/>
        <w:rPr>
          <w:rFonts w:cs="Times New Roman"/>
          <w:b/>
          <w:bCs/>
          <w:u w:val="single"/>
        </w:rPr>
      </w:pPr>
      <w:r w:rsidRPr="00285C40">
        <w:rPr>
          <w:rFonts w:cs="Times New Roman"/>
          <w:b/>
          <w:bCs/>
          <w:u w:val="single"/>
        </w:rPr>
        <w:t>Group 3</w:t>
      </w:r>
    </w:p>
    <w:p w14:paraId="162D7E34" w14:textId="77777777" w:rsidR="00FF5DB7" w:rsidRPr="002113B3" w:rsidRDefault="00FF5DB7" w:rsidP="00FF5DB7">
      <w:pPr>
        <w:jc w:val="both"/>
        <w:rPr>
          <w:rFonts w:cs="Times New Roman"/>
          <w:b/>
          <w:bCs/>
        </w:rPr>
      </w:pPr>
      <w:r w:rsidRPr="002113B3">
        <w:rPr>
          <w:rFonts w:cs="Times New Roman"/>
          <w:b/>
          <w:bCs/>
        </w:rPr>
        <w:t>Individual morality and the demands of ‘Realpolitik’</w:t>
      </w:r>
    </w:p>
    <w:p w14:paraId="6A4F5021" w14:textId="77777777" w:rsidR="00FF5DB7" w:rsidRDefault="00FF5DB7" w:rsidP="00FF5DB7">
      <w:pPr>
        <w:jc w:val="both"/>
        <w:rPr>
          <w:rFonts w:cs="Times New Roman"/>
          <w:bCs/>
        </w:rPr>
      </w:pPr>
      <w:r w:rsidRPr="003254A3">
        <w:rPr>
          <w:rFonts w:cs="Times New Roman"/>
          <w:bCs/>
        </w:rPr>
        <w:t>What is the dilemma in which Elisabeth finds herself regarding the problem(s) posed by Maria? (Think about her Elisabeth’s personal situation, the requirements of the historical and political situation, and the demands of the religious situation). Do you see any parallels with her situation and the situation of the leaders of the French Revolution and the conflicts with which they were confronted? Take a close look at Act 1, Scene 2, lines 242-250; Act 1, Scene 7, lines 855-879, Act 2, Scene 3, lines 1255-1299, Act 3, Scene 6, lines, 2502-2523. How could these dilemmas be solved? What is the dilemma that Maria finds herself in? (Think about her Maria’s personal situation, the requirements of the historical and political situation, and the demands of the religious situation). How do both women deal with the different conflicts with which they are confronted? Does Schiller’s play suggest a solution?</w:t>
      </w:r>
    </w:p>
    <w:p w14:paraId="7FC1E783" w14:textId="77777777" w:rsidR="00FF5DB7" w:rsidRPr="00E41E6D" w:rsidRDefault="00FF5DB7" w:rsidP="00FF5DB7">
      <w:pPr>
        <w:spacing w:line="240" w:lineRule="auto"/>
        <w:rPr>
          <w:rFonts w:cs="Times New Roman"/>
          <w:bCs/>
        </w:rPr>
      </w:pPr>
      <w:r>
        <w:rPr>
          <w:rFonts w:cs="Times New Roman"/>
          <w:bCs/>
        </w:rPr>
        <w:br w:type="page"/>
      </w:r>
    </w:p>
    <w:p w14:paraId="4CDB9183" w14:textId="77777777" w:rsidR="00FF5DB7" w:rsidRDefault="00FF5DB7" w:rsidP="00FF5DB7">
      <w:pPr>
        <w:pStyle w:val="Title"/>
      </w:pPr>
      <w:r>
        <w:t>German Culture in the Age of Revolution, 1789-1848</w:t>
      </w:r>
    </w:p>
    <w:p w14:paraId="1E6A316C" w14:textId="77777777" w:rsidR="00FF5DB7" w:rsidRDefault="00FF5DB7" w:rsidP="00FF5DB7">
      <w:pPr>
        <w:jc w:val="center"/>
        <w:rPr>
          <w:b/>
        </w:rPr>
      </w:pPr>
    </w:p>
    <w:p w14:paraId="6AF6C61D" w14:textId="2533859B" w:rsidR="00FF5DB7" w:rsidRDefault="00FF5DB7" w:rsidP="00FF5DB7">
      <w:pPr>
        <w:jc w:val="center"/>
        <w:rPr>
          <w:b/>
        </w:rPr>
      </w:pPr>
      <w:r>
        <w:rPr>
          <w:b/>
        </w:rPr>
        <w:t>Seminar Term 1</w:t>
      </w:r>
      <w:r w:rsidR="00285C40">
        <w:rPr>
          <w:b/>
        </w:rPr>
        <w:t>,</w:t>
      </w:r>
      <w:r>
        <w:rPr>
          <w:b/>
        </w:rPr>
        <w:t xml:space="preserve"> Week 7 </w:t>
      </w:r>
    </w:p>
    <w:p w14:paraId="181B2420" w14:textId="77777777" w:rsidR="00FF5DB7" w:rsidRDefault="00FF5DB7" w:rsidP="00FF5DB7">
      <w:pPr>
        <w:jc w:val="center"/>
        <w:rPr>
          <w:b/>
        </w:rPr>
      </w:pPr>
    </w:p>
    <w:p w14:paraId="64458E27" w14:textId="77777777" w:rsidR="00FF5DB7" w:rsidRDefault="00FF5DB7" w:rsidP="00FF5DB7">
      <w:pPr>
        <w:jc w:val="center"/>
        <w:rPr>
          <w:b/>
        </w:rPr>
      </w:pPr>
      <w:r>
        <w:rPr>
          <w:b/>
        </w:rPr>
        <w:t xml:space="preserve">F. Schiller, </w:t>
      </w:r>
      <w:r>
        <w:rPr>
          <w:b/>
          <w:i/>
        </w:rPr>
        <w:t xml:space="preserve">Wilhelm Tell </w:t>
      </w:r>
      <w:r>
        <w:rPr>
          <w:b/>
        </w:rPr>
        <w:t>(1805)</w:t>
      </w:r>
    </w:p>
    <w:p w14:paraId="5B6B66A7" w14:textId="77777777" w:rsidR="00FF5DB7" w:rsidRDefault="00FF5DB7" w:rsidP="00FF5DB7"/>
    <w:p w14:paraId="424DF181" w14:textId="77777777" w:rsidR="00FF5DB7" w:rsidRDefault="00FF5DB7" w:rsidP="00FF5DB7">
      <w:r>
        <w:t xml:space="preserve">Schiller ‘s </w:t>
      </w:r>
      <w:r>
        <w:rPr>
          <w:i/>
        </w:rPr>
        <w:t>Wilhelm Tell</w:t>
      </w:r>
      <w:r>
        <w:t xml:space="preserve"> presents in dramatic form the struggle of the Swiss against the tyranny of the Austrian </w:t>
      </w:r>
      <w:r>
        <w:rPr>
          <w:i/>
        </w:rPr>
        <w:t>Reichsvogt</w:t>
      </w:r>
      <w:r>
        <w:t xml:space="preserve"> (i.e. governor of the region, placed in his position by the Emperor) Hermann Gessler, and the role in this struggle of the legendary figure Wilhelm Tell. The story is set in the 14</w:t>
      </w:r>
      <w:r>
        <w:rPr>
          <w:vertAlign w:val="superscript"/>
        </w:rPr>
        <w:t>th</w:t>
      </w:r>
      <w:r>
        <w:t xml:space="preserve"> century (the assassination of Gessler took place, according to the historical sources, in 1307); Schiller’s chief historical source was a 16</w:t>
      </w:r>
      <w:r>
        <w:rPr>
          <w:vertAlign w:val="superscript"/>
        </w:rPr>
        <w:t>th</w:t>
      </w:r>
      <w:r>
        <w:t xml:space="preserve"> century chronicle of Swiss history by Ägidius Tschudi, the </w:t>
      </w:r>
      <w:r>
        <w:rPr>
          <w:i/>
        </w:rPr>
        <w:t>Chronicon Helveticum</w:t>
      </w:r>
      <w:r>
        <w:t>.</w:t>
      </w:r>
    </w:p>
    <w:p w14:paraId="4336BDBA" w14:textId="77777777" w:rsidR="00FF5DB7" w:rsidRDefault="00FF5DB7" w:rsidP="00FF5DB7"/>
    <w:p w14:paraId="26195693" w14:textId="77777777" w:rsidR="00FF5DB7" w:rsidRDefault="00FF5DB7" w:rsidP="00FF5DB7">
      <w:r>
        <w:t xml:space="preserve">[The politics of the piece are as follows: traditionally the cantons of Switzerland – Uri, Unterwalden and Schwyz – had the status of free lands under the protection of the Emperor of the </w:t>
      </w:r>
      <w:r>
        <w:rPr>
          <w:i/>
        </w:rPr>
        <w:t>Heiliges Römisches Reich Deutscher Nation</w:t>
      </w:r>
      <w:r>
        <w:t xml:space="preserve">, to whom they expressed their allegiance in return for his protection; at this point in Swiss history, the </w:t>
      </w:r>
      <w:r>
        <w:rPr>
          <w:i/>
        </w:rPr>
        <w:t>Reichsvogt</w:t>
      </w:r>
      <w:r>
        <w:t xml:space="preserve"> is attempting to force the Swiss to accept Austrian rule, i.e. to annex the Swiss cantons to Austria. The drama depicts the Swiss struggle to retain their freedom.]</w:t>
      </w:r>
    </w:p>
    <w:p w14:paraId="351AFC40" w14:textId="77777777" w:rsidR="00FF5DB7" w:rsidRDefault="00FF5DB7" w:rsidP="00FF5DB7"/>
    <w:p w14:paraId="674BFB97" w14:textId="77777777" w:rsidR="00FF5DB7" w:rsidRDefault="00FF5DB7" w:rsidP="00FF5DB7">
      <w:r>
        <w:t>As often with Schiller’s political plays, the plot is complex. It is composed of three strands: (1) the story of Tell and Gessler (with its climaxes in the apple-shooting scene, Act 3 sc.3, and the assassination of Gessler by Tell, Act 4 sc.3); (2) the peasant conspiracy (with its chief focuses of the meeting on the Rütli, Act 2 sc.2, and the destruction of Zwing Uri, Act 5 sc.1); (3) the drama of patriotism and personal loyalties represented in the story of Rudenz, Berta and Herr von Attinghausen, which weaves through the other two plot strands.</w:t>
      </w:r>
    </w:p>
    <w:p w14:paraId="68FFAF9D" w14:textId="77777777" w:rsidR="00FF5DB7" w:rsidRDefault="00FF5DB7" w:rsidP="00FF5DB7"/>
    <w:p w14:paraId="3400F91F" w14:textId="77777777" w:rsidR="00FF5DB7" w:rsidRDefault="00FF5DB7" w:rsidP="00FF5DB7">
      <w:r>
        <w:t>We will focus in the first seminar on the character of Tell himself, his motivations for action, the transformation of his character when under supreme threat, his assassination of his (and the Swiss’) chief enemy, and the implied justification of his action through the encounter with Johannes ‘Parricida’ in Act 5.</w:t>
      </w:r>
    </w:p>
    <w:p w14:paraId="2461E0FF" w14:textId="77777777" w:rsidR="00FF5DB7" w:rsidRDefault="00FF5DB7" w:rsidP="00FF5DB7"/>
    <w:p w14:paraId="5A015C18" w14:textId="77777777" w:rsidR="00FF5DB7" w:rsidRDefault="00FF5DB7" w:rsidP="00285C40">
      <w:pPr>
        <w:spacing w:line="240" w:lineRule="auto"/>
      </w:pPr>
      <w:r w:rsidRPr="00B56A9A">
        <w:rPr>
          <w:b/>
          <w:u w:val="single"/>
        </w:rPr>
        <w:t>Group 2</w:t>
      </w:r>
    </w:p>
    <w:p w14:paraId="0136ED2C" w14:textId="77777777" w:rsidR="00FF5DB7" w:rsidRDefault="00FF5DB7" w:rsidP="00285C40">
      <w:r>
        <w:t>It is worthwhile considering the way in which Tell is presented to us on first appearance in the drama: what is the situation in Act 1 sc.1? What is Tell’s reaction to the challenge presented (and what sort of language does he use in order to justify his bravery)? What are our first impressions of Tell’s character? On the basis of this first scene, what are our expectations as to Tell’s likely position in the struggle of the Swiss against the Austrian tyranny?  -  Compare these expectations with his responses to Stauffacher in Act 1 sc.3.</w:t>
      </w:r>
    </w:p>
    <w:p w14:paraId="33356C67" w14:textId="77777777" w:rsidR="00FF5DB7" w:rsidRDefault="00FF5DB7" w:rsidP="00FF5DB7">
      <w:pPr>
        <w:ind w:left="360"/>
      </w:pPr>
    </w:p>
    <w:p w14:paraId="238C86D5" w14:textId="77777777" w:rsidR="00FF5DB7" w:rsidRPr="00B56A9A" w:rsidRDefault="00FF5DB7" w:rsidP="00285C40">
      <w:pPr>
        <w:spacing w:line="240" w:lineRule="auto"/>
      </w:pPr>
      <w:r>
        <w:rPr>
          <w:b/>
          <w:u w:val="single"/>
        </w:rPr>
        <w:t>Group 3</w:t>
      </w:r>
    </w:p>
    <w:p w14:paraId="611D6F6F" w14:textId="77777777" w:rsidR="00FF5DB7" w:rsidRDefault="00FF5DB7" w:rsidP="00285C40">
      <w:r>
        <w:t>Act 3 sc.3, the centre of the play, presents the scene which epitomises the legend of Wilhelm Tell: the apple-shooting scene. Explain how it comes about that Tell is required to prove his expert bowmanship by shooting an apple from his son’s head at eighty paces. What is Gessler’s motivation for requiring it? Comment on how the scene constructs our sympathies (e.g. through the way in which Gessler is portrayed in relation to the other characters who try to intervene on Tell’s behalf and in relation to Tell’s son). What is the dramatic purpose of the altercation between Rudenz and Gessler?</w:t>
      </w:r>
      <w:r>
        <w:br/>
        <w:t xml:space="preserve">Do you find it surprising that Tell shoots? (Could he have refused? What would have been the consequences if he had refused?) What does the scene express about the type of </w:t>
      </w:r>
      <w:r>
        <w:rPr>
          <w:i/>
        </w:rPr>
        <w:t>force</w:t>
      </w:r>
      <w:r>
        <w:t xml:space="preserve"> (German: </w:t>
      </w:r>
      <w:r>
        <w:rPr>
          <w:i/>
        </w:rPr>
        <w:t>Gewalt</w:t>
      </w:r>
      <w:r>
        <w:t>) that Gessler represents? What, then, is the symbolic force of Tell’s act?</w:t>
      </w:r>
      <w:r>
        <w:br/>
        <w:t>What has Tell been shown in the course of this scene about his own situation and the political position that he adopted in Act 1 sc.3?</w:t>
      </w:r>
      <w:r>
        <w:br/>
        <w:t xml:space="preserve"> </w:t>
      </w:r>
    </w:p>
    <w:p w14:paraId="4148D38C" w14:textId="77777777" w:rsidR="00FF5DB7" w:rsidRPr="00B56A9A" w:rsidRDefault="00FF5DB7" w:rsidP="00285C40">
      <w:pPr>
        <w:spacing w:line="240" w:lineRule="auto"/>
      </w:pPr>
      <w:r>
        <w:rPr>
          <w:b/>
          <w:u w:val="single"/>
        </w:rPr>
        <w:t>Group 1</w:t>
      </w:r>
    </w:p>
    <w:p w14:paraId="21E87854" w14:textId="77777777" w:rsidR="00FF5DB7" w:rsidRDefault="00FF5DB7" w:rsidP="00285C40">
      <w:r>
        <w:t xml:space="preserve">Act 4 sc.3: Tell’s soliloquy gives us insight into how he sees the events of Act 3 sc.3: how does he feel himself to have been transformed, and for what further action does Tell now feel himself justified? What is the dramatic purpose of the scene between Armgard, Gessler and Rudolph? Comment on the relation between the content of Gessler’s speech ‘Ein allzu milder Herrscher bin ich noch’ (ll.2779ff) and what happens at the end of it. Comment on the significance of the line (spoken by women bystanders who refuse to come to Gessler’s aid): ‘Wir ihn berühren, welchen Gott geschlagen!’ (l.2817) in the light of what has </w:t>
      </w:r>
      <w:r>
        <w:rPr>
          <w:i/>
        </w:rPr>
        <w:t>actually</w:t>
      </w:r>
      <w:r>
        <w:t xml:space="preserve"> happened.</w:t>
      </w:r>
    </w:p>
    <w:p w14:paraId="6E5CF984" w14:textId="77777777" w:rsidR="00FF5DB7" w:rsidRDefault="00FF5DB7" w:rsidP="00FF5DB7">
      <w:pPr>
        <w:ind w:left="360"/>
      </w:pPr>
    </w:p>
    <w:p w14:paraId="7FDD3655" w14:textId="77777777" w:rsidR="00FF5DB7" w:rsidRPr="00B56A9A" w:rsidRDefault="00FF5DB7" w:rsidP="00285C40">
      <w:pPr>
        <w:spacing w:line="240" w:lineRule="auto"/>
        <w:rPr>
          <w:b/>
          <w:u w:val="single"/>
        </w:rPr>
      </w:pPr>
      <w:r w:rsidRPr="00B56A9A">
        <w:rPr>
          <w:b/>
          <w:u w:val="single"/>
        </w:rPr>
        <w:t>Everybody</w:t>
      </w:r>
    </w:p>
    <w:p w14:paraId="647A64F8" w14:textId="77777777" w:rsidR="00FF5DB7" w:rsidRDefault="00FF5DB7" w:rsidP="00285C40">
      <w:r>
        <w:t xml:space="preserve">The last act creates a comparison between Tell, who has killed the tyrant Gessler, and Johannes von Schwaben, the nephew of the </w:t>
      </w:r>
      <w:r>
        <w:rPr>
          <w:i/>
        </w:rPr>
        <w:t>Kaiser</w:t>
      </w:r>
      <w:r>
        <w:t xml:space="preserve">, who has murdered his uncle (see Act 5 sc.1, ll.2950ff). In Act 5 sc.2, they encounter one another. How do you see the comparison? </w:t>
      </w:r>
      <w:r w:rsidRPr="00D00914">
        <w:rPr>
          <w:lang w:val="de-DE"/>
        </w:rPr>
        <w:t xml:space="preserve">Schiller wrote to his friend Iffland of this scene: ‘Parricidas [i.e. Johannes’] Erscheinung ist der Schlußstein des Ganzen. Tells Mordthat wird durch ihn allein moralisch und poetisch aufgelöst.’ </w:t>
      </w:r>
      <w:r>
        <w:t xml:space="preserve">[Quoted in Lesley Sharpe, </w:t>
      </w:r>
      <w:r>
        <w:rPr>
          <w:i/>
        </w:rPr>
        <w:t>Friedrich Schiller. Drama, Thought and Politics</w:t>
      </w:r>
      <w:r>
        <w:t>, Cambridge 1991, p.307] – This suggests that Schiller thought that the comparison was necessary in order to absolve his central character of the accusation of (personally motivated?) murder. Does it, in your view? (And you might want to compare some views of others: e.g. Sharpe and Miller: see bibliography below.)</w:t>
      </w:r>
    </w:p>
    <w:p w14:paraId="4680754E" w14:textId="77777777" w:rsidR="00FF5DB7" w:rsidRDefault="00FF5DB7" w:rsidP="00FF5DB7"/>
    <w:p w14:paraId="49210ACD" w14:textId="77777777" w:rsidR="00FF5DB7" w:rsidRDefault="00FF5DB7" w:rsidP="00FF5DB7"/>
    <w:p w14:paraId="13A82FAB" w14:textId="77777777" w:rsidR="00FF5DB7" w:rsidRPr="009848D2" w:rsidRDefault="00FF5DB7" w:rsidP="00285C40">
      <w:pPr>
        <w:pStyle w:val="Heading1"/>
        <w:numPr>
          <w:ilvl w:val="0"/>
          <w:numId w:val="0"/>
        </w:numPr>
        <w:rPr>
          <w:sz w:val="24"/>
          <w:szCs w:val="24"/>
        </w:rPr>
      </w:pPr>
      <w:r w:rsidRPr="009848D2">
        <w:rPr>
          <w:sz w:val="24"/>
          <w:szCs w:val="24"/>
        </w:rPr>
        <w:t>Bibliography (selective)</w:t>
      </w:r>
    </w:p>
    <w:p w14:paraId="36397AC1" w14:textId="77777777" w:rsidR="00FF5DB7" w:rsidRDefault="00FF5DB7" w:rsidP="00FF5DB7">
      <w:r>
        <w:t xml:space="preserve">Lesley Sharpe, </w:t>
      </w:r>
      <w:r>
        <w:rPr>
          <w:i/>
        </w:rPr>
        <w:t>Schiller and the Historical Character</w:t>
      </w:r>
      <w:r>
        <w:t>, Oxford 1982</w:t>
      </w:r>
    </w:p>
    <w:p w14:paraId="56270A77" w14:textId="77777777" w:rsidR="00FF5DB7" w:rsidRDefault="00FF5DB7" w:rsidP="00FF5DB7">
      <w:r>
        <w:t xml:space="preserve">Lesley Sharpe, </w:t>
      </w:r>
      <w:r>
        <w:rPr>
          <w:i/>
        </w:rPr>
        <w:t>Friedrich Schiller. Drama, Thought and Politics</w:t>
      </w:r>
      <w:r>
        <w:t>, Cambridge 1991</w:t>
      </w:r>
    </w:p>
    <w:p w14:paraId="32C95498" w14:textId="77777777" w:rsidR="00FF5DB7" w:rsidRDefault="00FF5DB7" w:rsidP="00FF5DB7">
      <w:r w:rsidRPr="00D00914">
        <w:rPr>
          <w:lang w:val="de-DE"/>
        </w:rPr>
        <w:t xml:space="preserve">E.L. Stahl, </w:t>
      </w:r>
      <w:r w:rsidRPr="00D00914">
        <w:rPr>
          <w:i/>
          <w:lang w:val="de-DE"/>
        </w:rPr>
        <w:t xml:space="preserve">Friedrich Schiller’s Drama. </w:t>
      </w:r>
      <w:r>
        <w:rPr>
          <w:i/>
        </w:rPr>
        <w:t>Theory and Practice</w:t>
      </w:r>
      <w:r>
        <w:t>, Oxford 1954</w:t>
      </w:r>
    </w:p>
    <w:p w14:paraId="70BF0B21" w14:textId="77777777" w:rsidR="00FF5DB7" w:rsidRDefault="00FF5DB7" w:rsidP="00FF5DB7">
      <w:r>
        <w:t xml:space="preserve">R.D. Miller, </w:t>
      </w:r>
      <w:r>
        <w:rPr>
          <w:i/>
        </w:rPr>
        <w:t>The Drama of Schiller</w:t>
      </w:r>
      <w:r>
        <w:t>, Harrogate 1963</w:t>
      </w:r>
    </w:p>
    <w:p w14:paraId="6C1AEEDE" w14:textId="77777777" w:rsidR="00FF5DB7" w:rsidRDefault="00FF5DB7" w:rsidP="00FF5DB7"/>
    <w:p w14:paraId="604A9A7B" w14:textId="77777777" w:rsidR="00FF5DB7" w:rsidRDefault="00FF5DB7">
      <w:pPr>
        <w:spacing w:line="240" w:lineRule="auto"/>
        <w:rPr>
          <w:rFonts w:cs="Times New Roman"/>
          <w:bCs/>
        </w:rPr>
      </w:pPr>
      <w:r>
        <w:rPr>
          <w:rFonts w:cs="Times New Roman"/>
          <w:bCs/>
        </w:rPr>
        <w:br w:type="page"/>
      </w:r>
    </w:p>
    <w:p w14:paraId="291546D0" w14:textId="77777777" w:rsidR="00FF5DB7" w:rsidRDefault="00FF5DB7" w:rsidP="00FF5DB7">
      <w:pPr>
        <w:pStyle w:val="Title"/>
        <w:spacing w:line="360" w:lineRule="auto"/>
      </w:pPr>
      <w:r>
        <w:t>German Culture in the Age of Revolution, 1789-1848</w:t>
      </w:r>
    </w:p>
    <w:p w14:paraId="304A6325" w14:textId="296BBDDF" w:rsidR="00FF5DB7" w:rsidRDefault="00234204" w:rsidP="00FF5DB7">
      <w:pPr>
        <w:jc w:val="center"/>
        <w:rPr>
          <w:b/>
        </w:rPr>
      </w:pPr>
      <w:r>
        <w:rPr>
          <w:b/>
        </w:rPr>
        <w:t>Seminar Term 1, Week 8</w:t>
      </w:r>
    </w:p>
    <w:p w14:paraId="30CA4428" w14:textId="77777777" w:rsidR="00FF5DB7" w:rsidRDefault="00FF5DB7" w:rsidP="00FF5DB7">
      <w:pPr>
        <w:spacing w:line="480" w:lineRule="auto"/>
        <w:jc w:val="center"/>
        <w:rPr>
          <w:b/>
        </w:rPr>
      </w:pPr>
      <w:r>
        <w:rPr>
          <w:b/>
        </w:rPr>
        <w:t xml:space="preserve">The national community in </w:t>
      </w:r>
      <w:r>
        <w:rPr>
          <w:b/>
          <w:i/>
        </w:rPr>
        <w:t xml:space="preserve">Wilhelm Tell </w:t>
      </w:r>
    </w:p>
    <w:p w14:paraId="5AA57178" w14:textId="77777777" w:rsidR="00FF5DB7" w:rsidRDefault="00FF5DB7" w:rsidP="00FF5DB7">
      <w:pPr>
        <w:rPr>
          <w:b/>
        </w:rPr>
      </w:pPr>
    </w:p>
    <w:p w14:paraId="17FEF89D" w14:textId="77777777" w:rsidR="00FF5DB7" w:rsidRDefault="00FF5DB7" w:rsidP="00FF5DB7">
      <w:pPr>
        <w:rPr>
          <w:b/>
        </w:rPr>
      </w:pPr>
    </w:p>
    <w:p w14:paraId="2B9467B8" w14:textId="77777777" w:rsidR="00FF5DB7" w:rsidRDefault="00FF5DB7" w:rsidP="00FF5DB7">
      <w:pPr>
        <w:rPr>
          <w:b/>
        </w:rPr>
      </w:pPr>
      <w:r>
        <w:rPr>
          <w:b/>
        </w:rPr>
        <w:t xml:space="preserve">GROUP 3: </w:t>
      </w:r>
    </w:p>
    <w:p w14:paraId="775BB8A9" w14:textId="77777777" w:rsidR="00FF5DB7" w:rsidRPr="009F3FF1" w:rsidRDefault="00FF5DB7" w:rsidP="00FF5DB7">
      <w:pPr>
        <w:rPr>
          <w:b/>
        </w:rPr>
      </w:pPr>
      <w:r>
        <w:rPr>
          <w:b/>
        </w:rPr>
        <w:t>The countryfolk</w:t>
      </w:r>
    </w:p>
    <w:p w14:paraId="14C81BCA" w14:textId="77777777" w:rsidR="00FF5DB7" w:rsidRDefault="00FF5DB7" w:rsidP="00FF5DB7"/>
    <w:p w14:paraId="5BDED98A" w14:textId="77777777" w:rsidR="00FF5DB7" w:rsidRDefault="00FF5DB7" w:rsidP="00FF5DB7">
      <w:pPr>
        <w:numPr>
          <w:ilvl w:val="0"/>
          <w:numId w:val="8"/>
        </w:numPr>
        <w:spacing w:line="240" w:lineRule="auto"/>
      </w:pPr>
      <w:r>
        <w:t>Aufzug, 1. Szene</w:t>
      </w:r>
    </w:p>
    <w:p w14:paraId="0F4C7613" w14:textId="77777777" w:rsidR="00FF5DB7" w:rsidRDefault="00FF5DB7" w:rsidP="00FF5DB7">
      <w:pPr>
        <w:ind w:left="360"/>
      </w:pPr>
    </w:p>
    <w:p w14:paraId="035A82CF" w14:textId="77777777" w:rsidR="00FF5DB7" w:rsidRDefault="00FF5DB7" w:rsidP="00FF5DB7">
      <w:r>
        <w:t>How are the Swiss presented in the first three pages of the play (ll. 1-66); how do you imagine the scene on a stage? Does this opening of the play – which, at first sight, doesn’t seem to have much to do with the unfolding of events after Baumgarten enters the scene (l. 67) – influence the way we perceive Baumgarten and his actions? How does he justify them (l. 81-86)?</w:t>
      </w:r>
    </w:p>
    <w:p w14:paraId="4258F2C0" w14:textId="77777777" w:rsidR="00FF5DB7" w:rsidRDefault="00FF5DB7" w:rsidP="00FF5DB7"/>
    <w:p w14:paraId="69658863" w14:textId="77777777" w:rsidR="00FF5DB7" w:rsidRDefault="00FF5DB7" w:rsidP="00FF5DB7">
      <w:pPr>
        <w:numPr>
          <w:ilvl w:val="0"/>
          <w:numId w:val="9"/>
        </w:numPr>
        <w:spacing w:line="240" w:lineRule="auto"/>
      </w:pPr>
      <w:r>
        <w:t>Aufzug, 4. Szene</w:t>
      </w:r>
    </w:p>
    <w:p w14:paraId="772E3998" w14:textId="77777777" w:rsidR="00FF5DB7" w:rsidRDefault="00FF5DB7" w:rsidP="00FF5DB7"/>
    <w:p w14:paraId="4364712F" w14:textId="77777777" w:rsidR="00FF5DB7" w:rsidRDefault="00FF5DB7" w:rsidP="00FF5DB7">
      <w:r>
        <w:t xml:space="preserve">On what basis is the new regime, represented by the Bugvogt, Gessler etc., criticised in the dialogue between Walther Fürst und Stauffacher (ll. 537-552); which oppositions structure this description? With what sort of imagery does Melchthal justify his call for an uprising (l. 640-654) a bit further on? </w:t>
      </w:r>
    </w:p>
    <w:p w14:paraId="7F56E060" w14:textId="77777777" w:rsidR="00FF5DB7" w:rsidRDefault="00FF5DB7" w:rsidP="00FF5DB7"/>
    <w:p w14:paraId="42EACDF1" w14:textId="77777777" w:rsidR="00FF5DB7" w:rsidRDefault="00FF5DB7" w:rsidP="00FF5DB7">
      <w:r>
        <w:t>Do the transgressions by Gessler and his men (the Burgvogt (l. 77) and the Landenberger Vogt (l. 274)), which provoke Tell, Baumgarten and Melchthal into action, have anything in common? What are Tell, Baumgarten and Melchthal defending?</w:t>
      </w:r>
    </w:p>
    <w:p w14:paraId="44EB752F" w14:textId="77777777" w:rsidR="00FF5DB7" w:rsidRDefault="00FF5DB7" w:rsidP="00FF5DB7"/>
    <w:p w14:paraId="17FB75BA" w14:textId="77777777" w:rsidR="00FF5DB7" w:rsidRDefault="00FF5DB7" w:rsidP="00FF5DB7">
      <w:pPr>
        <w:numPr>
          <w:ilvl w:val="0"/>
          <w:numId w:val="9"/>
        </w:numPr>
        <w:spacing w:line="240" w:lineRule="auto"/>
      </w:pPr>
      <w:r>
        <w:t>Aufzug, 2. Szene (Rütlischwur)</w:t>
      </w:r>
    </w:p>
    <w:p w14:paraId="24E01865" w14:textId="77777777" w:rsidR="00FF5DB7" w:rsidRDefault="00FF5DB7" w:rsidP="00FF5DB7"/>
    <w:p w14:paraId="44149A88" w14:textId="77777777" w:rsidR="00FF5DB7" w:rsidRDefault="00FF5DB7" w:rsidP="00FF5DB7">
      <w:r>
        <w:t>Look at the stage directions in the beginning (p. 40) – does the setting of the scene influence the way the audience might perceive the character of the conspiracy and of the oath? (What would be different if the conspirators had met, say, in a local town hall or the castle of von Attinghausen?)</w:t>
      </w:r>
    </w:p>
    <w:p w14:paraId="657923F4" w14:textId="77777777" w:rsidR="00FF5DB7" w:rsidRDefault="00FF5DB7" w:rsidP="00FF5DB7"/>
    <w:p w14:paraId="73652B98" w14:textId="77777777" w:rsidR="00FF5DB7" w:rsidRDefault="00FF5DB7" w:rsidP="00FF5DB7">
      <w:r>
        <w:t xml:space="preserve">What is the political function of Stauffacher’s tale about the origin of the people of Schwyz (ll. 1166-1213)? Do you see any problems with this way of arguing for freedom and unity?  </w:t>
      </w:r>
    </w:p>
    <w:p w14:paraId="0B464BE6" w14:textId="77777777" w:rsidR="00FF5DB7" w:rsidRDefault="00FF5DB7" w:rsidP="00FF5DB7">
      <w:r>
        <w:t xml:space="preserve">What does Stauffacher mean when he talks about ‘ew(i)ge Rechte’ (l. 1279; read the whole passage ll.1270-1288)? Why would this concept be important? What does the Rösselmann-episode that follows (1289-1310) tell us about this ‘neuen Bund’ (1447)? </w:t>
      </w:r>
    </w:p>
    <w:p w14:paraId="22DA7CC4" w14:textId="77777777" w:rsidR="00FF5DB7" w:rsidRDefault="00FF5DB7" w:rsidP="00FF5DB7"/>
    <w:p w14:paraId="32F1263F" w14:textId="77777777" w:rsidR="00FF5DB7" w:rsidRDefault="00FF5DB7" w:rsidP="00FF5DB7">
      <w:r>
        <w:t>All these scenes taken together: in what way(s) is the uprising justified? W hat sort of uprising might appear as unjustified?</w:t>
      </w:r>
    </w:p>
    <w:p w14:paraId="68551DD2" w14:textId="77777777" w:rsidR="00FF5DB7" w:rsidRDefault="00FF5DB7" w:rsidP="00FF5DB7"/>
    <w:p w14:paraId="2465E073" w14:textId="77777777" w:rsidR="00FF5DB7" w:rsidRDefault="00FF5DB7" w:rsidP="00FF5DB7">
      <w:pPr>
        <w:rPr>
          <w:b/>
        </w:rPr>
      </w:pPr>
    </w:p>
    <w:p w14:paraId="7360697A" w14:textId="244476B3" w:rsidR="00FF5DB7" w:rsidRDefault="00FF5DB7" w:rsidP="00FF5DB7">
      <w:pPr>
        <w:rPr>
          <w:b/>
        </w:rPr>
      </w:pPr>
      <w:r>
        <w:rPr>
          <w:b/>
        </w:rPr>
        <w:t>GROUP 2:</w:t>
      </w:r>
    </w:p>
    <w:p w14:paraId="54BB5505" w14:textId="77777777" w:rsidR="00FF5DB7" w:rsidRDefault="00FF5DB7" w:rsidP="00FF5DB7">
      <w:pPr>
        <w:rPr>
          <w:b/>
        </w:rPr>
      </w:pPr>
      <w:r>
        <w:rPr>
          <w:b/>
        </w:rPr>
        <w:t>The Swiss nobility</w:t>
      </w:r>
    </w:p>
    <w:p w14:paraId="31B989A4" w14:textId="77777777" w:rsidR="00FF5DB7" w:rsidRPr="00A016DF" w:rsidRDefault="00FF5DB7" w:rsidP="00FF5DB7">
      <w:r w:rsidRPr="00A016DF">
        <w:t>2. Aufzug, 1. Szene</w:t>
      </w:r>
    </w:p>
    <w:p w14:paraId="35E236D7" w14:textId="77777777" w:rsidR="00FF5DB7" w:rsidRDefault="00FF5DB7" w:rsidP="00FF5DB7"/>
    <w:p w14:paraId="425E9CEA" w14:textId="77777777" w:rsidR="00FF5DB7" w:rsidRDefault="00FF5DB7" w:rsidP="00FF5DB7">
      <w:r>
        <w:t>How are the Freiherr (baron) von Attinghausen and his nephew Ulrich von Rudenz portrayed in the first four pages of this scene (pp. 33-36); what are their political positions and why? Which oppositions structure their discussion? See also Attinghausens closing monologue, ll. 947-959.</w:t>
      </w:r>
    </w:p>
    <w:p w14:paraId="42B6896F" w14:textId="77777777" w:rsidR="00FF5DB7" w:rsidRDefault="00FF5DB7" w:rsidP="00FF5DB7"/>
    <w:p w14:paraId="6FC34BA7" w14:textId="77777777" w:rsidR="00FF5DB7" w:rsidRDefault="00FF5DB7" w:rsidP="00FF5DB7">
      <w:r>
        <w:t xml:space="preserve">How and why does Rudenz’ position change in the course of the play? (See also 3. Aufzug, 2. and 3. Szene) </w:t>
      </w:r>
    </w:p>
    <w:p w14:paraId="323A27D3" w14:textId="77777777" w:rsidR="00FF5DB7" w:rsidRDefault="00FF5DB7" w:rsidP="00FF5DB7"/>
    <w:p w14:paraId="7C16A1B1" w14:textId="77777777" w:rsidR="00FF5DB7" w:rsidRDefault="00FF5DB7" w:rsidP="00FF5DB7">
      <w:r>
        <w:t>Look at Attinghausen’s monologue on his death bed (or rather: Sessel), ll. 2417-2452, and at the very last scene of the play (pp. 126-27): in what way does the struggle for freedom change the relationship between the Swiss nobility and the countryfolk as portrayed in the play?</w:t>
      </w:r>
    </w:p>
    <w:p w14:paraId="0B45ED8D" w14:textId="77777777" w:rsidR="00FF5DB7" w:rsidRDefault="00FF5DB7" w:rsidP="00FF5DB7"/>
    <w:p w14:paraId="662D0FCD" w14:textId="77777777" w:rsidR="00234204" w:rsidRDefault="00234204">
      <w:pPr>
        <w:spacing w:line="240" w:lineRule="auto"/>
        <w:rPr>
          <w:b/>
        </w:rPr>
      </w:pPr>
      <w:r>
        <w:rPr>
          <w:b/>
        </w:rPr>
        <w:br w:type="page"/>
      </w:r>
    </w:p>
    <w:p w14:paraId="14B70395" w14:textId="718A6AB8" w:rsidR="00FF5DB7" w:rsidRPr="00706992" w:rsidRDefault="00FF5DB7" w:rsidP="00FF5DB7">
      <w:pPr>
        <w:rPr>
          <w:b/>
        </w:rPr>
      </w:pPr>
      <w:r w:rsidRPr="00706992">
        <w:rPr>
          <w:b/>
        </w:rPr>
        <w:t>GROUP 1:</w:t>
      </w:r>
    </w:p>
    <w:p w14:paraId="4C1117F0" w14:textId="77777777" w:rsidR="00FF5DB7" w:rsidRPr="009F3FF1" w:rsidRDefault="00FF5DB7" w:rsidP="00FF5DB7">
      <w:r w:rsidRPr="009F3FF1">
        <w:rPr>
          <w:b/>
        </w:rPr>
        <w:t>Gender roles</w:t>
      </w:r>
    </w:p>
    <w:p w14:paraId="46D01D7E" w14:textId="77777777" w:rsidR="00FF5DB7" w:rsidRPr="00CC4C5F" w:rsidRDefault="00FF5DB7" w:rsidP="00FF5DB7">
      <w:pPr>
        <w:rPr>
          <w:b/>
        </w:rPr>
      </w:pPr>
      <w:r w:rsidRPr="00CC4C5F">
        <w:rPr>
          <w:b/>
        </w:rPr>
        <w:t xml:space="preserve"> </w:t>
      </w:r>
    </w:p>
    <w:p w14:paraId="3908334E" w14:textId="77777777" w:rsidR="00FF5DB7" w:rsidRPr="00CC4C5F" w:rsidRDefault="00FF5DB7" w:rsidP="00FF5DB7">
      <w:pPr>
        <w:numPr>
          <w:ilvl w:val="0"/>
          <w:numId w:val="10"/>
        </w:numPr>
        <w:spacing w:line="240" w:lineRule="auto"/>
      </w:pPr>
      <w:r w:rsidRPr="00CC4C5F">
        <w:t>Aufzug, 1. Szene</w:t>
      </w:r>
    </w:p>
    <w:p w14:paraId="0AA50A96" w14:textId="77777777" w:rsidR="00FF5DB7" w:rsidRPr="00CC4C5F" w:rsidRDefault="00FF5DB7" w:rsidP="00FF5DB7"/>
    <w:p w14:paraId="7893C866" w14:textId="77777777" w:rsidR="00FF5DB7" w:rsidRPr="00CC4C5F" w:rsidRDefault="00FF5DB7" w:rsidP="00FF5DB7">
      <w:r w:rsidRPr="00CC4C5F">
        <w:t xml:space="preserve">Look again at Baumgarten’s justification for killing the Burvogt (ll. 79-86) and Kuoni’s reaction: which conception of male and female ‘honour’ is expressed here? </w:t>
      </w:r>
    </w:p>
    <w:p w14:paraId="587BDBD4" w14:textId="77777777" w:rsidR="00FF5DB7" w:rsidRPr="00CC4C5F" w:rsidRDefault="00FF5DB7" w:rsidP="00FF5DB7"/>
    <w:p w14:paraId="22AD27B6" w14:textId="77777777" w:rsidR="00FF5DB7" w:rsidRPr="00CC4C5F" w:rsidRDefault="00FF5DB7" w:rsidP="00FF5DB7">
      <w:pPr>
        <w:numPr>
          <w:ilvl w:val="0"/>
          <w:numId w:val="11"/>
        </w:numPr>
        <w:spacing w:line="240" w:lineRule="auto"/>
      </w:pPr>
      <w:r w:rsidRPr="00CC4C5F">
        <w:t>Aufzug, 2. Szene</w:t>
      </w:r>
    </w:p>
    <w:p w14:paraId="67D946D5" w14:textId="77777777" w:rsidR="00FF5DB7" w:rsidRPr="00CC4C5F" w:rsidRDefault="00FF5DB7" w:rsidP="00FF5DB7"/>
    <w:p w14:paraId="157F51CB" w14:textId="77777777" w:rsidR="00FF5DB7" w:rsidRPr="00CC4C5F" w:rsidRDefault="00FF5DB7" w:rsidP="00FF5DB7">
      <w:r w:rsidRPr="00CC4C5F">
        <w:t xml:space="preserve">Look at the dialogue between Stauffacher and his wife Gertrud, esp. pp. 16-17: who argues which position initially? Do you find it surprising? And how does Gertrud’s position compare to that of Tell’s wife Hedwig, e.g. in 3. Aufzug, 1. Szene? </w:t>
      </w:r>
    </w:p>
    <w:p w14:paraId="50718840" w14:textId="77777777" w:rsidR="00FF5DB7" w:rsidRPr="00CC4C5F" w:rsidRDefault="00FF5DB7" w:rsidP="00FF5DB7">
      <w:r w:rsidRPr="00CC4C5F">
        <w:t>How does Stauffacher’s position change; why is he all fired up to fight in the end (l.330 ff.)? What reaction of the audience, do you think, does the dialogue invite? What do you think of it – would you agree with Gertrud’s and Stauffacher’s position?</w:t>
      </w:r>
    </w:p>
    <w:p w14:paraId="2E84DF3C" w14:textId="77777777" w:rsidR="00FF5DB7" w:rsidRPr="00CC4C5F" w:rsidRDefault="00FF5DB7" w:rsidP="00FF5DB7"/>
    <w:p w14:paraId="3A74CE6C" w14:textId="77777777" w:rsidR="00FF5DB7" w:rsidRPr="00CC4C5F" w:rsidRDefault="00FF5DB7" w:rsidP="00FF5DB7">
      <w:pPr>
        <w:numPr>
          <w:ilvl w:val="0"/>
          <w:numId w:val="11"/>
        </w:numPr>
        <w:spacing w:line="240" w:lineRule="auto"/>
      </w:pPr>
      <w:r w:rsidRPr="00CC4C5F">
        <w:t>Aufzug, 2. Szene</w:t>
      </w:r>
    </w:p>
    <w:p w14:paraId="2E1FE5F8" w14:textId="77777777" w:rsidR="00FF5DB7" w:rsidRPr="00CC4C5F" w:rsidRDefault="00FF5DB7" w:rsidP="00FF5DB7"/>
    <w:p w14:paraId="18C621AE" w14:textId="77777777" w:rsidR="00FF5DB7" w:rsidRPr="00CC4C5F" w:rsidRDefault="00FF5DB7" w:rsidP="00FF5DB7">
      <w:r w:rsidRPr="00CC4C5F">
        <w:t>What is Bertha’s role in this dialogue? What type of arguments does she use, which notion does she appeal to to convince Rudenz to fight for Swiss freedom (look esp. at ll. 1608-1614, 1623-1636, 1643-1654? How does that compare with the type of arguments Rudenz is using, esp in the dialogue with Attinghausen (ll. 869-892</w:t>
      </w:r>
      <w:r>
        <w:t>), but again alluded to in ll. 1</w:t>
      </w:r>
      <w:r w:rsidRPr="00CC4C5F">
        <w:t xml:space="preserve">629-31? </w:t>
      </w:r>
    </w:p>
    <w:p w14:paraId="0406C7BD" w14:textId="77777777" w:rsidR="00FF5DB7" w:rsidRDefault="00FF5DB7" w:rsidP="00FF5DB7"/>
    <w:p w14:paraId="132941A1" w14:textId="77777777" w:rsidR="00FF5DB7" w:rsidRPr="00CC4C5F" w:rsidRDefault="00FF5DB7" w:rsidP="00FF5DB7"/>
    <w:p w14:paraId="30C77829" w14:textId="77777777" w:rsidR="00FF5DB7" w:rsidRPr="00752CD5" w:rsidRDefault="00FF5DB7" w:rsidP="00FF5DB7">
      <w:pPr>
        <w:rPr>
          <w:b/>
          <w:u w:val="single"/>
        </w:rPr>
      </w:pPr>
      <w:r w:rsidRPr="00752CD5">
        <w:rPr>
          <w:b/>
          <w:u w:val="single"/>
        </w:rPr>
        <w:t>For everybody to consider:</w:t>
      </w:r>
    </w:p>
    <w:p w14:paraId="6F5978FC" w14:textId="77777777" w:rsidR="00FF5DB7" w:rsidRDefault="00FF5DB7" w:rsidP="00FF5DB7">
      <w:pPr>
        <w:rPr>
          <w:b/>
        </w:rPr>
      </w:pPr>
    </w:p>
    <w:p w14:paraId="56834F4F" w14:textId="77777777" w:rsidR="00FF5DB7" w:rsidRPr="00CC4C5F" w:rsidRDefault="00FF5DB7" w:rsidP="00FF5DB7">
      <w:r w:rsidRPr="00706992">
        <w:t xml:space="preserve">Look at the text by </w:t>
      </w:r>
      <w:r w:rsidRPr="00752CD5">
        <w:rPr>
          <w:b/>
        </w:rPr>
        <w:t>Stuart Hall</w:t>
      </w:r>
      <w:r>
        <w:rPr>
          <w:b/>
        </w:rPr>
        <w:t xml:space="preserve"> </w:t>
      </w:r>
      <w:r>
        <w:t xml:space="preserve">from </w:t>
      </w:r>
      <w:r>
        <w:rPr>
          <w:i/>
        </w:rPr>
        <w:t>Modernity and its Futures</w:t>
      </w:r>
      <w:r w:rsidRPr="00706992">
        <w:t xml:space="preserve">: </w:t>
      </w:r>
      <w:r>
        <w:t xml:space="preserve">What, according to Hall, are the main elements of national discourses and narratives (pp. 293-295)? Can we recognize any of these in </w:t>
      </w:r>
      <w:r>
        <w:rPr>
          <w:i/>
        </w:rPr>
        <w:t xml:space="preserve">Wilhelm </w:t>
      </w:r>
      <w:r w:rsidRPr="00706992">
        <w:rPr>
          <w:i/>
        </w:rPr>
        <w:t>Tell</w:t>
      </w:r>
      <w:r>
        <w:t xml:space="preserve">? How about the points he makes on pp. 296-97 about the problems with conceptions of a unified national identity – do any of these relate to </w:t>
      </w:r>
      <w:r w:rsidRPr="00752CD5">
        <w:rPr>
          <w:i/>
        </w:rPr>
        <w:t>Tell</w:t>
      </w:r>
      <w:r>
        <w:t>?</w:t>
      </w:r>
    </w:p>
    <w:p w14:paraId="06867BF8" w14:textId="77777777" w:rsidR="00FF5DB7" w:rsidRDefault="00FF5DB7">
      <w:pPr>
        <w:spacing w:line="240" w:lineRule="auto"/>
        <w:rPr>
          <w:rFonts w:cs="Times New Roman"/>
          <w:bCs/>
        </w:rPr>
      </w:pPr>
      <w:r>
        <w:rPr>
          <w:rFonts w:cs="Times New Roman"/>
          <w:bCs/>
        </w:rPr>
        <w:br w:type="page"/>
      </w:r>
    </w:p>
    <w:p w14:paraId="704E8CA4" w14:textId="77777777" w:rsidR="00FF5DB7" w:rsidRDefault="00FF5DB7" w:rsidP="00FF5DB7">
      <w:pPr>
        <w:pStyle w:val="Title"/>
      </w:pPr>
      <w:r>
        <w:t>German Culture in the Age of Revolution, 1789-1848</w:t>
      </w:r>
    </w:p>
    <w:p w14:paraId="10766E96" w14:textId="77777777" w:rsidR="00FF5DB7" w:rsidRDefault="00FF5DB7" w:rsidP="00FF5DB7">
      <w:pPr>
        <w:jc w:val="center"/>
        <w:rPr>
          <w:b/>
        </w:rPr>
      </w:pPr>
    </w:p>
    <w:p w14:paraId="2A7D1F79" w14:textId="7DCC8087" w:rsidR="00FF5DB7" w:rsidRPr="00551205" w:rsidRDefault="00FF5DB7" w:rsidP="00FF5DB7">
      <w:pPr>
        <w:jc w:val="center"/>
        <w:rPr>
          <w:b/>
          <w:lang w:val="de-DE"/>
        </w:rPr>
      </w:pPr>
      <w:r w:rsidRPr="00551205">
        <w:rPr>
          <w:b/>
          <w:lang w:val="de-DE"/>
        </w:rPr>
        <w:t>Seminar Term 1</w:t>
      </w:r>
      <w:r w:rsidR="00234204">
        <w:rPr>
          <w:b/>
          <w:lang w:val="de-DE"/>
        </w:rPr>
        <w:t>, Week 9</w:t>
      </w:r>
    </w:p>
    <w:p w14:paraId="1D2D3A87" w14:textId="77777777" w:rsidR="00FF5DB7" w:rsidRPr="00551205" w:rsidRDefault="00FF5DB7" w:rsidP="00FF5DB7">
      <w:pPr>
        <w:jc w:val="center"/>
        <w:rPr>
          <w:b/>
          <w:lang w:val="de-DE"/>
        </w:rPr>
      </w:pPr>
    </w:p>
    <w:p w14:paraId="6B2B1127" w14:textId="77777777" w:rsidR="00FF5DB7" w:rsidRPr="00551205" w:rsidRDefault="00FF5DB7" w:rsidP="00FF5DB7">
      <w:pPr>
        <w:jc w:val="center"/>
        <w:rPr>
          <w:b/>
          <w:i/>
          <w:lang w:val="de-DE"/>
        </w:rPr>
      </w:pPr>
      <w:r w:rsidRPr="00551205">
        <w:rPr>
          <w:b/>
          <w:lang w:val="de-DE"/>
        </w:rPr>
        <w:t xml:space="preserve">Heinrich von Kleist, </w:t>
      </w:r>
      <w:r w:rsidRPr="00551205">
        <w:rPr>
          <w:b/>
          <w:i/>
          <w:lang w:val="de-DE"/>
        </w:rPr>
        <w:t>Prinz Friedrich von Homburg</w:t>
      </w:r>
    </w:p>
    <w:p w14:paraId="6E3DE347" w14:textId="77777777" w:rsidR="00FF5DB7" w:rsidRDefault="00FF5DB7" w:rsidP="00FF5DB7">
      <w:pPr>
        <w:jc w:val="center"/>
      </w:pPr>
      <w:r>
        <w:rPr>
          <w:b/>
        </w:rPr>
        <w:t>(written 1809-11, first published 1821)</w:t>
      </w:r>
    </w:p>
    <w:p w14:paraId="5744FA07" w14:textId="77777777" w:rsidR="00FF5DB7" w:rsidRDefault="00FF5DB7" w:rsidP="00FF5DB7"/>
    <w:p w14:paraId="0C38B34A" w14:textId="77777777" w:rsidR="00FF5DB7" w:rsidRDefault="00FF5DB7" w:rsidP="00FF5DB7">
      <w:r>
        <w:t>This week’s seminar is intended as an opportunity for you to practice in your workgroups the skills required to produce a convincing commentary on a given scene from a drama, such as you are asked to do individually for the first assessment for this module.  Therefore, on this occasion, there will be no detailed questions on features of the set scenes, as is the custom on these worksheets. Rather, you should use the accompanying handout on writing commentaries to guide you in the construction of a presentation on your set scene.</w:t>
      </w:r>
    </w:p>
    <w:p w14:paraId="7642E211" w14:textId="77777777" w:rsidR="00FF5DB7" w:rsidRDefault="00FF5DB7" w:rsidP="00FF5DB7"/>
    <w:p w14:paraId="7EE78B40" w14:textId="77777777" w:rsidR="00FF5DB7" w:rsidRDefault="00FF5DB7" w:rsidP="00FF5DB7">
      <w:r>
        <w:t xml:space="preserve">In the seminar itself, I would like each group to make </w:t>
      </w:r>
      <w:r>
        <w:rPr>
          <w:b/>
        </w:rPr>
        <w:t>a formal</w:t>
      </w:r>
      <w:r>
        <w:t xml:space="preserve"> </w:t>
      </w:r>
      <w:r>
        <w:rPr>
          <w:b/>
        </w:rPr>
        <w:t>presentation</w:t>
      </w:r>
      <w:r>
        <w:t xml:space="preserve"> </w:t>
      </w:r>
      <w:r>
        <w:rPr>
          <w:b/>
        </w:rPr>
        <w:t>of not more than 15 minutes’ duration</w:t>
      </w:r>
      <w:r>
        <w:t xml:space="preserve"> on the scene allocated below.  You will, as usual, have time at the beginning of the seminar for discussion in your groups, but since </w:t>
      </w:r>
      <w:r>
        <w:rPr>
          <w:b/>
        </w:rPr>
        <w:t xml:space="preserve">the task this time is to present a coherent and structured reading of the scene </w:t>
      </w:r>
      <w:r>
        <w:t>(which I will not interrupt, but comment on afterwards), you may wish to meet to discuss the structuring of your group presentation before the seminar.  May I recommend the excellent facilities of the Learning Grid, on the ground floor of University House, for the purposes of preparing group presentations.</w:t>
      </w:r>
    </w:p>
    <w:p w14:paraId="13D617CE" w14:textId="77777777" w:rsidR="00FF5DB7" w:rsidRDefault="00FF5DB7" w:rsidP="00FF5DB7"/>
    <w:p w14:paraId="175BEF90" w14:textId="77777777" w:rsidR="00FF5DB7" w:rsidRDefault="00FF5DB7" w:rsidP="00FF5DB7">
      <w:pPr>
        <w:pStyle w:val="BodyText"/>
      </w:pPr>
      <w:r>
        <w:t>Please make sure that your presentation keeps within the time-limit of no more than 15 minutes!!</w:t>
      </w:r>
    </w:p>
    <w:p w14:paraId="3D0223DB" w14:textId="77777777" w:rsidR="00FF5DB7" w:rsidRDefault="00FF5DB7" w:rsidP="00FF5DB7"/>
    <w:p w14:paraId="16265969" w14:textId="77777777" w:rsidR="00FF5DB7" w:rsidRDefault="00FF5DB7" w:rsidP="00FF5DB7"/>
    <w:p w14:paraId="5840C43F" w14:textId="77777777" w:rsidR="00FF5DB7" w:rsidRDefault="00FF5DB7" w:rsidP="00FF5DB7">
      <w:r>
        <w:t xml:space="preserve">Heinrich von Kleist’s play </w:t>
      </w:r>
      <w:r>
        <w:rPr>
          <w:i/>
        </w:rPr>
        <w:t>Prinz Friedrich von Homburg</w:t>
      </w:r>
      <w:r>
        <w:t xml:space="preserve"> is a highly complex piece of dramatic writing, and it is impossible to do justice to its complexity in just one seminar.  For the purposes of this seminar, I am setting a sequence of scenes from the middle of the play which deal with the central issue of the character of the Prince, how he responds to the fact that he has been sentenced to death for insubordination, although he was the victor at the battle of Fehrbellin where the act of insubordination took place, and (the turning-point of the play) the response in turn of the Kurfürst (Elector) to the Prinzessin Natalie’s account of Prinz Friedrich’s state of mind.</w:t>
      </w:r>
    </w:p>
    <w:p w14:paraId="47B57A14" w14:textId="77777777" w:rsidR="00FF5DB7" w:rsidRDefault="00FF5DB7" w:rsidP="00FF5DB7"/>
    <w:p w14:paraId="18193F43" w14:textId="77777777" w:rsidR="00FF5DB7" w:rsidRDefault="00FF5DB7" w:rsidP="00FF5DB7"/>
    <w:p w14:paraId="1B9CB9B2" w14:textId="77777777" w:rsidR="00FF5DB7" w:rsidRDefault="00FF5DB7" w:rsidP="00FF5DB7"/>
    <w:p w14:paraId="668C98A9" w14:textId="77777777" w:rsidR="00FF5DB7" w:rsidRDefault="00FF5DB7" w:rsidP="00FF5DB7">
      <w:pPr>
        <w:pStyle w:val="BodyText"/>
      </w:pPr>
      <w:r>
        <w:t>Please prepare commentaries on the following scenes:</w:t>
      </w:r>
    </w:p>
    <w:p w14:paraId="3AC971AC" w14:textId="77777777" w:rsidR="00FF5DB7" w:rsidRDefault="00FF5DB7" w:rsidP="00FF5DB7"/>
    <w:p w14:paraId="5D1AAB00" w14:textId="77777777" w:rsidR="00FF5DB7" w:rsidRPr="00551205" w:rsidRDefault="00FF5DB7" w:rsidP="00FF5DB7">
      <w:pPr>
        <w:pStyle w:val="BodyText"/>
        <w:rPr>
          <w:b w:val="0"/>
          <w:lang w:val="de-DE"/>
        </w:rPr>
      </w:pPr>
      <w:r w:rsidRPr="00551205">
        <w:rPr>
          <w:lang w:val="de-DE"/>
        </w:rPr>
        <w:t>Group 1:  Act 3, sc.1</w:t>
      </w:r>
      <w:r w:rsidRPr="00551205">
        <w:rPr>
          <w:b w:val="0"/>
          <w:lang w:val="de-DE"/>
        </w:rPr>
        <w:t xml:space="preserve"> (Der Prinz von Homburg, Hohenzollern)</w:t>
      </w:r>
    </w:p>
    <w:p w14:paraId="631EFED5" w14:textId="77777777" w:rsidR="00FF5DB7" w:rsidRPr="00551205" w:rsidRDefault="00FF5DB7" w:rsidP="00FF5DB7">
      <w:pPr>
        <w:pStyle w:val="BodyText"/>
        <w:rPr>
          <w:b w:val="0"/>
          <w:lang w:val="de-DE"/>
        </w:rPr>
      </w:pPr>
    </w:p>
    <w:p w14:paraId="3723176F" w14:textId="77777777" w:rsidR="00FF5DB7" w:rsidRPr="00551205" w:rsidRDefault="00FF5DB7" w:rsidP="00FF5DB7">
      <w:pPr>
        <w:pStyle w:val="BodyText"/>
        <w:rPr>
          <w:b w:val="0"/>
          <w:lang w:val="de-DE"/>
        </w:rPr>
      </w:pPr>
      <w:r w:rsidRPr="00551205">
        <w:rPr>
          <w:lang w:val="de-DE"/>
        </w:rPr>
        <w:t>Group 2:</w:t>
      </w:r>
      <w:r w:rsidRPr="00551205">
        <w:rPr>
          <w:b w:val="0"/>
          <w:lang w:val="de-DE"/>
        </w:rPr>
        <w:t xml:space="preserve"> </w:t>
      </w:r>
      <w:r w:rsidRPr="00551205">
        <w:rPr>
          <w:lang w:val="de-DE"/>
        </w:rPr>
        <w:t xml:space="preserve"> Act 3, sc. 5</w:t>
      </w:r>
      <w:r w:rsidRPr="00551205">
        <w:rPr>
          <w:b w:val="0"/>
          <w:lang w:val="de-DE"/>
        </w:rPr>
        <w:t xml:space="preserve"> (Der Prinz von Homburg, Kurfürstin, Natalie)</w:t>
      </w:r>
    </w:p>
    <w:p w14:paraId="5846BFEF" w14:textId="77777777" w:rsidR="00FF5DB7" w:rsidRPr="00551205" w:rsidRDefault="00FF5DB7" w:rsidP="00FF5DB7">
      <w:pPr>
        <w:pStyle w:val="BodyText"/>
        <w:rPr>
          <w:b w:val="0"/>
          <w:lang w:val="de-DE"/>
        </w:rPr>
      </w:pPr>
    </w:p>
    <w:p w14:paraId="2D3E2006" w14:textId="77777777" w:rsidR="00FF5DB7" w:rsidRDefault="00FF5DB7" w:rsidP="00FF5DB7">
      <w:pPr>
        <w:pStyle w:val="BodyText"/>
        <w:rPr>
          <w:b w:val="0"/>
        </w:rPr>
      </w:pPr>
      <w:r>
        <w:t>Group 3:  Act 4, sc. 1</w:t>
      </w:r>
      <w:r>
        <w:rPr>
          <w:b w:val="0"/>
        </w:rPr>
        <w:t xml:space="preserve"> (Natalie, Kurfürst)</w:t>
      </w:r>
    </w:p>
    <w:p w14:paraId="435F44BF" w14:textId="77777777" w:rsidR="00FF5DB7" w:rsidRDefault="00FF5DB7" w:rsidP="00FF5DB7"/>
    <w:p w14:paraId="6BF6DCD7" w14:textId="77777777" w:rsidR="00234204" w:rsidRDefault="00234204" w:rsidP="00FF5DB7">
      <w:pPr>
        <w:rPr>
          <w:b/>
        </w:rPr>
      </w:pPr>
    </w:p>
    <w:p w14:paraId="78830CA1" w14:textId="657723BD" w:rsidR="00234204" w:rsidRDefault="00234204" w:rsidP="00234204">
      <w:pPr>
        <w:jc w:val="center"/>
        <w:rPr>
          <w:b/>
        </w:rPr>
      </w:pPr>
      <w:r>
        <w:rPr>
          <w:b/>
        </w:rPr>
        <w:t xml:space="preserve">* * * </w:t>
      </w:r>
    </w:p>
    <w:p w14:paraId="56886550" w14:textId="77777777" w:rsidR="00234204" w:rsidRDefault="00234204" w:rsidP="00FF5DB7">
      <w:pPr>
        <w:rPr>
          <w:b/>
        </w:rPr>
      </w:pPr>
    </w:p>
    <w:p w14:paraId="59AAF9E4" w14:textId="7C83EBB8" w:rsidR="00FF5DB7" w:rsidRDefault="00FF5DB7" w:rsidP="00FF5DB7">
      <w:pPr>
        <w:rPr>
          <w:b/>
        </w:rPr>
      </w:pPr>
      <w:r>
        <w:rPr>
          <w:b/>
        </w:rPr>
        <w:t>Other scenes which are crucial to the understanding of the plot are:</w:t>
      </w:r>
    </w:p>
    <w:p w14:paraId="0F417B78" w14:textId="77777777" w:rsidR="00FF5DB7" w:rsidRDefault="00FF5DB7" w:rsidP="00FF5DB7"/>
    <w:p w14:paraId="5E2A63B0" w14:textId="77777777" w:rsidR="00FF5DB7" w:rsidRDefault="00FF5DB7" w:rsidP="00FF5DB7">
      <w:r>
        <w:rPr>
          <w:b/>
        </w:rPr>
        <w:t>Act 1 sc. 1</w:t>
      </w:r>
      <w:r>
        <w:t>, where the Kurfürst plays a joke (‘Scherz’, l.83) on the sleepwalking Prinz, improvising a scene which the Prinz, on awakening, thinks has been a dream which prophesies his crowning as the victor of Fehrbellin;</w:t>
      </w:r>
    </w:p>
    <w:p w14:paraId="1B3F4084" w14:textId="77777777" w:rsidR="00FF5DB7" w:rsidRDefault="00FF5DB7" w:rsidP="00FF5DB7"/>
    <w:p w14:paraId="649AB8CE" w14:textId="77777777" w:rsidR="00FF5DB7" w:rsidRDefault="00FF5DB7" w:rsidP="00FF5DB7">
      <w:r>
        <w:rPr>
          <w:b/>
        </w:rPr>
        <w:t>Act 1 sc. 5</w:t>
      </w:r>
      <w:r>
        <w:t>, the so-called ‘Parole’ scene, where the Kurfürst’s orders for his battle-plan are given out, but the Prinz, distracted by a puzzling reminder of his supposed ‘dream’, fails to note down exactly what he is supposed to do;</w:t>
      </w:r>
    </w:p>
    <w:p w14:paraId="1EB0A129" w14:textId="77777777" w:rsidR="00FF5DB7" w:rsidRDefault="00FF5DB7" w:rsidP="00FF5DB7"/>
    <w:p w14:paraId="79237211" w14:textId="77777777" w:rsidR="00FF5DB7" w:rsidRDefault="00FF5DB7" w:rsidP="00FF5DB7">
      <w:r>
        <w:rPr>
          <w:b/>
        </w:rPr>
        <w:t>Act 2 sc. 2</w:t>
      </w:r>
      <w:r>
        <w:t>, the battle scene in which the Prinz disregards the Kurfürst’s orders and charges into battle, taking his men with him (and note his own response to an officer under his command who challenges his authority, ll.485-488);</w:t>
      </w:r>
    </w:p>
    <w:p w14:paraId="5FDBDDA6" w14:textId="77777777" w:rsidR="00FF5DB7" w:rsidRDefault="00FF5DB7" w:rsidP="00FF5DB7"/>
    <w:p w14:paraId="10D323AA" w14:textId="77777777" w:rsidR="00FF5DB7" w:rsidRDefault="00FF5DB7" w:rsidP="00FF5DB7">
      <w:r>
        <w:rPr>
          <w:b/>
        </w:rPr>
        <w:t>Act 2 sc. 6</w:t>
      </w:r>
      <w:r>
        <w:t>, where the Prinz proposes to Natalie and is accepted;</w:t>
      </w:r>
    </w:p>
    <w:p w14:paraId="0F0BFBFD" w14:textId="77777777" w:rsidR="00FF5DB7" w:rsidRDefault="00FF5DB7" w:rsidP="00FF5DB7"/>
    <w:p w14:paraId="59CEDA79" w14:textId="77777777" w:rsidR="00FF5DB7" w:rsidRDefault="00FF5DB7" w:rsidP="00FF5DB7">
      <w:r>
        <w:rPr>
          <w:b/>
        </w:rPr>
        <w:t>Act 2 sc. 9</w:t>
      </w:r>
      <w:r>
        <w:t xml:space="preserve">, where the Kurfürst pronounces that the man who led the cavalry and disobeyed orders will be condemned to death, and </w:t>
      </w:r>
      <w:r>
        <w:rPr>
          <w:b/>
        </w:rPr>
        <w:t>sc. 10</w:t>
      </w:r>
      <w:r>
        <w:t>, acts upon his word and has the Prinz arrested;</w:t>
      </w:r>
    </w:p>
    <w:p w14:paraId="6FA02B52" w14:textId="77777777" w:rsidR="00FF5DB7" w:rsidRDefault="00FF5DB7" w:rsidP="00FF5DB7"/>
    <w:p w14:paraId="6EAAE10C" w14:textId="77777777" w:rsidR="00FF5DB7" w:rsidRDefault="00FF5DB7" w:rsidP="00FF5DB7">
      <w:r>
        <w:rPr>
          <w:b/>
        </w:rPr>
        <w:t>Act 4 sc. 4</w:t>
      </w:r>
      <w:r>
        <w:t>, where Natalie brings the Kurfürst’s letter of ‘pardon’ to the Prinz;</w:t>
      </w:r>
    </w:p>
    <w:p w14:paraId="2C8877BB" w14:textId="77777777" w:rsidR="00FF5DB7" w:rsidRDefault="00FF5DB7" w:rsidP="00FF5DB7"/>
    <w:p w14:paraId="0A6609D8" w14:textId="77777777" w:rsidR="00FF5DB7" w:rsidRDefault="00FF5DB7" w:rsidP="00FF5DB7">
      <w:r>
        <w:rPr>
          <w:b/>
        </w:rPr>
        <w:t>Act 5 sc. 5</w:t>
      </w:r>
      <w:r>
        <w:t>, where there is an important exchange between the Kurfürst and the loyal old soldier Obrist Kottwitz, the latter of whom offers a vision of the state which is based on more than just the cold letter of the law;</w:t>
      </w:r>
    </w:p>
    <w:p w14:paraId="07944CD5" w14:textId="77777777" w:rsidR="00FF5DB7" w:rsidRDefault="00FF5DB7" w:rsidP="00FF5DB7"/>
    <w:p w14:paraId="5F54450B" w14:textId="77777777" w:rsidR="00FF5DB7" w:rsidRDefault="00FF5DB7" w:rsidP="00FF5DB7">
      <w:r>
        <w:rPr>
          <w:b/>
        </w:rPr>
        <w:t>Act 5 sc. 7</w:t>
      </w:r>
      <w:r>
        <w:t xml:space="preserve">, where the Prinz, after all, upholds the Kurfürst’s condemnation of him, and </w:t>
      </w:r>
      <w:r>
        <w:rPr>
          <w:b/>
        </w:rPr>
        <w:t>sc. 10</w:t>
      </w:r>
      <w:r>
        <w:t>, believes that he has now attained true immortality;</w:t>
      </w:r>
    </w:p>
    <w:p w14:paraId="3EE9A3A4" w14:textId="77777777" w:rsidR="00FF5DB7" w:rsidRDefault="00FF5DB7" w:rsidP="00FF5DB7"/>
    <w:p w14:paraId="2437B2F5" w14:textId="77777777" w:rsidR="00FF5DB7" w:rsidRDefault="00FF5DB7" w:rsidP="00FF5DB7">
      <w:r>
        <w:rPr>
          <w:b/>
        </w:rPr>
        <w:t>Act 5, sc. 11</w:t>
      </w:r>
      <w:r>
        <w:t>, the play’s final scene, which reproduces the ‘Scherz’ scene at the opening, but now as a genuine celebration of the Prinz’s ‘victory’.</w:t>
      </w:r>
    </w:p>
    <w:p w14:paraId="07D91575" w14:textId="77777777" w:rsidR="00FF5DB7" w:rsidRDefault="00FF5DB7">
      <w:pPr>
        <w:spacing w:line="240" w:lineRule="auto"/>
      </w:pPr>
      <w:r>
        <w:br w:type="page"/>
      </w:r>
    </w:p>
    <w:p w14:paraId="2E18E2AD" w14:textId="77777777" w:rsidR="00FF5DB7" w:rsidRDefault="00FF5DB7" w:rsidP="00FF5DB7">
      <w:pPr>
        <w:pStyle w:val="Title"/>
      </w:pPr>
      <w:r>
        <w:t>German Culture in the Age of Revolution, 1789-1848</w:t>
      </w:r>
    </w:p>
    <w:p w14:paraId="0BBCD108" w14:textId="77777777" w:rsidR="00FF5DB7" w:rsidRDefault="00FF5DB7" w:rsidP="00FF5DB7">
      <w:pPr>
        <w:jc w:val="center"/>
        <w:rPr>
          <w:b/>
        </w:rPr>
      </w:pPr>
    </w:p>
    <w:p w14:paraId="65ABCCA3" w14:textId="23699DB0" w:rsidR="00FF5DB7" w:rsidRPr="009D75FF" w:rsidRDefault="00234204" w:rsidP="00FF5DB7">
      <w:pPr>
        <w:jc w:val="center"/>
        <w:rPr>
          <w:b/>
          <w:lang w:val="de-DE"/>
        </w:rPr>
      </w:pPr>
      <w:r>
        <w:rPr>
          <w:b/>
          <w:lang w:val="de-DE"/>
        </w:rPr>
        <w:t>Seminar Term 1, Week 10</w:t>
      </w:r>
    </w:p>
    <w:p w14:paraId="0AD673EB" w14:textId="77777777" w:rsidR="00FF5DB7" w:rsidRPr="009D75FF" w:rsidRDefault="00FF5DB7" w:rsidP="00FF5DB7">
      <w:pPr>
        <w:jc w:val="center"/>
        <w:rPr>
          <w:b/>
          <w:lang w:val="de-DE"/>
        </w:rPr>
      </w:pPr>
    </w:p>
    <w:p w14:paraId="6029A4A8" w14:textId="77777777" w:rsidR="00FF5DB7" w:rsidRPr="009D75FF" w:rsidRDefault="00FF5DB7" w:rsidP="00FF5DB7">
      <w:pPr>
        <w:jc w:val="center"/>
        <w:rPr>
          <w:b/>
          <w:i/>
          <w:lang w:val="de-DE"/>
        </w:rPr>
      </w:pPr>
      <w:r w:rsidRPr="009D75FF">
        <w:rPr>
          <w:b/>
          <w:lang w:val="de-DE"/>
        </w:rPr>
        <w:t xml:space="preserve">Heinrich von Kleist, </w:t>
      </w:r>
      <w:r w:rsidRPr="009D75FF">
        <w:rPr>
          <w:b/>
          <w:i/>
          <w:lang w:val="de-DE"/>
        </w:rPr>
        <w:t>Prinz Friedrich von Homburg</w:t>
      </w:r>
    </w:p>
    <w:p w14:paraId="389EBA44" w14:textId="77777777" w:rsidR="00FF5DB7" w:rsidRPr="009D75FF" w:rsidRDefault="00FF5DB7" w:rsidP="00FF5DB7">
      <w:pPr>
        <w:rPr>
          <w:b/>
          <w:lang w:val="de-DE"/>
        </w:rPr>
      </w:pPr>
    </w:p>
    <w:p w14:paraId="3C5C987F" w14:textId="77777777" w:rsidR="00FF5DB7" w:rsidRPr="009D75FF" w:rsidRDefault="00FF5DB7" w:rsidP="00FF5DB7">
      <w:pPr>
        <w:rPr>
          <w:lang w:val="de-DE"/>
        </w:rPr>
      </w:pPr>
    </w:p>
    <w:p w14:paraId="47531927" w14:textId="77777777" w:rsidR="00FF5DB7" w:rsidRPr="009D75FF" w:rsidRDefault="00FF5DB7" w:rsidP="00FF5DB7">
      <w:pPr>
        <w:rPr>
          <w:lang w:val="de-DE"/>
        </w:rPr>
      </w:pPr>
    </w:p>
    <w:p w14:paraId="59F8BEEA" w14:textId="77777777" w:rsidR="00FF5DB7" w:rsidRDefault="00FF5DB7" w:rsidP="00FF5DB7">
      <w:r>
        <w:t xml:space="preserve">This week’s seminar is intended to further explore some of the problematic and apparently contradictory features of the play and to practice close reading of specific passages as a preparation for writing commentaries and doing textual analysis. </w:t>
      </w:r>
    </w:p>
    <w:p w14:paraId="36C0F75E" w14:textId="77777777" w:rsidR="00FF5DB7" w:rsidRDefault="00FF5DB7" w:rsidP="00FF5DB7"/>
    <w:p w14:paraId="23DE9B41" w14:textId="77777777" w:rsidR="00FF5DB7" w:rsidRPr="0063772B" w:rsidRDefault="00FF5DB7" w:rsidP="00FF5DB7">
      <w:pPr>
        <w:rPr>
          <w:b/>
        </w:rPr>
      </w:pPr>
    </w:p>
    <w:p w14:paraId="2DF6D8BE" w14:textId="77777777" w:rsidR="00FF5DB7" w:rsidRPr="0063772B" w:rsidRDefault="00FF5DB7" w:rsidP="00FF5DB7">
      <w:pPr>
        <w:rPr>
          <w:b/>
        </w:rPr>
      </w:pPr>
      <w:r w:rsidRPr="0063772B">
        <w:rPr>
          <w:b/>
        </w:rPr>
        <w:t>GROUP 2</w:t>
      </w:r>
    </w:p>
    <w:p w14:paraId="71E5B97A" w14:textId="77777777" w:rsidR="00FF5DB7" w:rsidRDefault="00FF5DB7" w:rsidP="00FF5DB7"/>
    <w:p w14:paraId="15096FF7" w14:textId="77777777" w:rsidR="00FF5DB7" w:rsidRPr="0063772B" w:rsidRDefault="00FF5DB7" w:rsidP="00FF5DB7">
      <w:pPr>
        <w:rPr>
          <w:b/>
        </w:rPr>
      </w:pPr>
      <w:r w:rsidRPr="0063772B">
        <w:rPr>
          <w:b/>
        </w:rPr>
        <w:t xml:space="preserve"> 1. Akt, 1. Auftritt</w:t>
      </w:r>
    </w:p>
    <w:p w14:paraId="261906E9" w14:textId="77777777" w:rsidR="00FF5DB7" w:rsidRDefault="00FF5DB7" w:rsidP="00FF5DB7"/>
    <w:p w14:paraId="292AEA9E" w14:textId="77777777" w:rsidR="00FF5DB7" w:rsidRDefault="00FF5DB7" w:rsidP="00FF5DB7">
      <w:r>
        <w:t>How is Homburg portrayed in this scene? How does he appear in the eyes of the other characters? How are the relationships between him and Hohenzollern, the Kurfürst and Natalie represented on stage and through the dialogue? In particular, what does he tell us about his relationship(s) with the Kurfürst in his exclamation “Friedrich! Mein Fürst! Mein Vater!”? How does this scene, and the impression we get of Homburg and the other characters, fit together with the later parts of the play? Think also of the scenes we have discussed last week, and of the (perhaps contradictory?) relationship of Homburg and the Kurfürst presented there.</w:t>
      </w:r>
    </w:p>
    <w:p w14:paraId="6E777E4C" w14:textId="77777777" w:rsidR="00FF5DB7" w:rsidRDefault="00FF5DB7" w:rsidP="00FF5DB7"/>
    <w:p w14:paraId="79350DB6" w14:textId="77777777" w:rsidR="00FF5DB7" w:rsidRPr="0063772B" w:rsidRDefault="00FF5DB7" w:rsidP="00FF5DB7">
      <w:pPr>
        <w:rPr>
          <w:b/>
        </w:rPr>
      </w:pPr>
    </w:p>
    <w:p w14:paraId="035BF2BC" w14:textId="77777777" w:rsidR="00FF5DB7" w:rsidRDefault="00FF5DB7" w:rsidP="00FF5DB7">
      <w:r w:rsidRPr="0063772B">
        <w:rPr>
          <w:b/>
        </w:rPr>
        <w:t>GROUP 3</w:t>
      </w:r>
    </w:p>
    <w:p w14:paraId="797BD442" w14:textId="77777777" w:rsidR="00FF5DB7" w:rsidRDefault="00FF5DB7" w:rsidP="00FF5DB7"/>
    <w:p w14:paraId="1E8AF080" w14:textId="77777777" w:rsidR="00FF5DB7" w:rsidRPr="0063772B" w:rsidRDefault="00FF5DB7" w:rsidP="00FF5DB7">
      <w:pPr>
        <w:rPr>
          <w:b/>
        </w:rPr>
      </w:pPr>
      <w:r w:rsidRPr="0063772B">
        <w:rPr>
          <w:b/>
        </w:rPr>
        <w:t>1. Akt, 4. Auftritt</w:t>
      </w:r>
    </w:p>
    <w:p w14:paraId="5339102D" w14:textId="77777777" w:rsidR="00FF5DB7" w:rsidRDefault="00FF5DB7" w:rsidP="00FF5DB7"/>
    <w:p w14:paraId="4F2E7898" w14:textId="77777777" w:rsidR="00FF5DB7" w:rsidRDefault="00FF5DB7" w:rsidP="00FF5DB7">
      <w:r>
        <w:t xml:space="preserve">Read p. 11, top to l. 124, carefully. What exactly is going on here, what does the structure of the dialogue tell us about the two protagonists, Homburg und Hohenzollern, and about their relationship? (It might even be helpful to also look at the graphic structure of the text on the page.) </w:t>
      </w:r>
    </w:p>
    <w:p w14:paraId="44D54EC9" w14:textId="77777777" w:rsidR="00FF5DB7" w:rsidRDefault="00FF5DB7" w:rsidP="00FF5DB7">
      <w:r>
        <w:t>Read the brief monologue of the prince, l. 115 (“Daß mich die Nacht …”) to 124 (“Was ist die Glocke jetzo?”) aloud, and in particular the first two lines. How would you describe the language and the sound, and what do these lines have to do with the way the prince is characterised in this scene?</w:t>
      </w:r>
    </w:p>
    <w:p w14:paraId="463C609E" w14:textId="77777777" w:rsidR="00FF5DB7" w:rsidRDefault="00FF5DB7" w:rsidP="00FF5DB7"/>
    <w:p w14:paraId="155360F2" w14:textId="77777777" w:rsidR="00FF5DB7" w:rsidRPr="0063772B" w:rsidRDefault="00FF5DB7" w:rsidP="00FF5DB7">
      <w:pPr>
        <w:rPr>
          <w:b/>
        </w:rPr>
      </w:pPr>
    </w:p>
    <w:p w14:paraId="3ABAEBB2" w14:textId="25D32748" w:rsidR="00FF5DB7" w:rsidRDefault="00FF5DB7" w:rsidP="00FF5DB7">
      <w:r w:rsidRPr="0063772B">
        <w:rPr>
          <w:b/>
        </w:rPr>
        <w:t>GROUP 1</w:t>
      </w:r>
      <w:r>
        <w:t xml:space="preserve"> </w:t>
      </w:r>
    </w:p>
    <w:p w14:paraId="2FF0E5F4" w14:textId="77777777" w:rsidR="00FF5DB7" w:rsidRDefault="00FF5DB7" w:rsidP="00FF5DB7"/>
    <w:p w14:paraId="47B296C2" w14:textId="77777777" w:rsidR="00FF5DB7" w:rsidRDefault="00FF5DB7" w:rsidP="00FF5DB7">
      <w:r>
        <w:rPr>
          <w:b/>
        </w:rPr>
        <w:t>5. Akt, 7. Auftritt</w:t>
      </w:r>
    </w:p>
    <w:p w14:paraId="294E7781" w14:textId="77777777" w:rsidR="00FF5DB7" w:rsidRDefault="00FF5DB7" w:rsidP="00FF5DB7"/>
    <w:p w14:paraId="424B6056" w14:textId="77777777" w:rsidR="00FF5DB7" w:rsidRDefault="00FF5DB7" w:rsidP="00FF5DB7">
      <w:r>
        <w:t>What is going on here between Homburg and the Kurfürst? How would you describe their relationship? What do you think of it?</w:t>
      </w:r>
    </w:p>
    <w:p w14:paraId="60BBA03A" w14:textId="77777777" w:rsidR="00FF5DB7" w:rsidRDefault="00FF5DB7" w:rsidP="00FF5DB7"/>
    <w:p w14:paraId="18FEBADF" w14:textId="77777777" w:rsidR="00FF5DB7" w:rsidRDefault="00FF5DB7" w:rsidP="00FF5DB7">
      <w:r>
        <w:rPr>
          <w:b/>
        </w:rPr>
        <w:t>5. Akt, 11. Auftritt</w:t>
      </w:r>
    </w:p>
    <w:p w14:paraId="7F53C2C4" w14:textId="77777777" w:rsidR="00FF5DB7" w:rsidRDefault="00FF5DB7" w:rsidP="00FF5DB7"/>
    <w:p w14:paraId="4B63DD87" w14:textId="43170712" w:rsidR="00FF5DB7" w:rsidRPr="0063772B" w:rsidRDefault="00FF5DB7" w:rsidP="00FF5DB7">
      <w:r w:rsidRPr="0063772B">
        <w:t xml:space="preserve">Which issues are raised in this scene, and how? </w:t>
      </w:r>
      <w:r w:rsidR="00234204">
        <w:t>What are the connections of this scene</w:t>
      </w:r>
      <w:r w:rsidRPr="0063772B">
        <w:t xml:space="preserve"> with the rest of the play? What do you think of this final scene? Is it convincing, and does it help us to make sense of what went before?</w:t>
      </w:r>
    </w:p>
    <w:p w14:paraId="5136557D" w14:textId="77777777" w:rsidR="00FF5DB7" w:rsidRDefault="00FF5DB7" w:rsidP="00FF5DB7"/>
    <w:p w14:paraId="2C7A8742" w14:textId="77777777" w:rsidR="00FF5DB7" w:rsidRDefault="00FF5DB7" w:rsidP="00FF5DB7"/>
    <w:p w14:paraId="73A3C990" w14:textId="77777777" w:rsidR="00A53268" w:rsidRPr="00FF5DB7" w:rsidRDefault="00A53268" w:rsidP="00FF5DB7"/>
    <w:sectPr w:rsidR="00A53268" w:rsidRPr="00FF5DB7" w:rsidSect="00D85F71">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94261C4E"/>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CE9708E"/>
    <w:multiLevelType w:val="hybridMultilevel"/>
    <w:tmpl w:val="E1DC35FE"/>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
    <w:nsid w:val="24B56285"/>
    <w:multiLevelType w:val="singleLevel"/>
    <w:tmpl w:val="0809000F"/>
    <w:lvl w:ilvl="0">
      <w:start w:val="1"/>
      <w:numFmt w:val="decimal"/>
      <w:lvlText w:val="%1."/>
      <w:lvlJc w:val="left"/>
      <w:pPr>
        <w:tabs>
          <w:tab w:val="num" w:pos="360"/>
        </w:tabs>
        <w:ind w:left="360" w:hanging="360"/>
      </w:pPr>
      <w:rPr>
        <w:rFonts w:hint="default"/>
      </w:rPr>
    </w:lvl>
  </w:abstractNum>
  <w:abstractNum w:abstractNumId="3">
    <w:nsid w:val="34EE4AB6"/>
    <w:multiLevelType w:val="hybridMultilevel"/>
    <w:tmpl w:val="5B94AAF4"/>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nsid w:val="37696EEA"/>
    <w:multiLevelType w:val="hybridMultilevel"/>
    <w:tmpl w:val="8B467ED4"/>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
    <w:nsid w:val="3B310F47"/>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6">
    <w:nsid w:val="5FE06B1C"/>
    <w:multiLevelType w:val="hybridMultilevel"/>
    <w:tmpl w:val="B93A654C"/>
    <w:lvl w:ilvl="0" w:tplc="BAB2CBA2">
      <w:start w:val="1"/>
      <w:numFmt w:val="decimal"/>
      <w:lvlText w:val="%1."/>
      <w:lvlJc w:val="left"/>
      <w:pPr>
        <w:ind w:left="720" w:hanging="720"/>
      </w:pPr>
      <w:rPr>
        <w:rFonts w:ascii="Times New Roman" w:hAnsi="Times New Roman" w:hint="default"/>
        <w:b/>
        <w:i w:val="0"/>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09B584D"/>
    <w:multiLevelType w:val="hybridMultilevel"/>
    <w:tmpl w:val="EFFE76E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nsid w:val="631F58D4"/>
    <w:multiLevelType w:val="hybridMultilevel"/>
    <w:tmpl w:val="C4FA569E"/>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nsid w:val="64FB3481"/>
    <w:multiLevelType w:val="hybridMultilevel"/>
    <w:tmpl w:val="C9124A06"/>
    <w:lvl w:ilvl="0" w:tplc="61FEFEFA">
      <w:start w:val="1"/>
      <w:numFmt w:val="decimal"/>
      <w:pStyle w:val="Heading1"/>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nsid w:val="74262D61"/>
    <w:multiLevelType w:val="singleLevel"/>
    <w:tmpl w:val="0809000F"/>
    <w:lvl w:ilvl="0">
      <w:start w:val="1"/>
      <w:numFmt w:val="decimal"/>
      <w:lvlText w:val="%1."/>
      <w:lvlJc w:val="left"/>
      <w:pPr>
        <w:tabs>
          <w:tab w:val="num" w:pos="360"/>
        </w:tabs>
        <w:ind w:left="360" w:hanging="360"/>
      </w:pPr>
      <w:rPr>
        <w:rFonts w:hint="default"/>
      </w:rPr>
    </w:lvl>
  </w:abstractNum>
  <w:num w:numId="1">
    <w:abstractNumId w:val="9"/>
  </w:num>
  <w:num w:numId="2">
    <w:abstractNumId w:val="6"/>
  </w:num>
  <w:num w:numId="3">
    <w:abstractNumId w:val="2"/>
  </w:num>
  <w:num w:numId="4">
    <w:abstractNumId w:val="0"/>
  </w:num>
  <w:num w:numId="5">
    <w:abstractNumId w:val="5"/>
  </w:num>
  <w:num w:numId="6">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8"/>
  </w:num>
  <w:num w:numId="9">
    <w:abstractNumId w:val="3"/>
  </w:num>
  <w:num w:numId="10">
    <w:abstractNumId w:val="1"/>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3268"/>
    <w:rsid w:val="000027C6"/>
    <w:rsid w:val="002034B4"/>
    <w:rsid w:val="00226DD1"/>
    <w:rsid w:val="00234204"/>
    <w:rsid w:val="00285C40"/>
    <w:rsid w:val="004F7F3F"/>
    <w:rsid w:val="005445E3"/>
    <w:rsid w:val="00550588"/>
    <w:rsid w:val="005D0B56"/>
    <w:rsid w:val="007362F0"/>
    <w:rsid w:val="007678EE"/>
    <w:rsid w:val="009848D2"/>
    <w:rsid w:val="00A17040"/>
    <w:rsid w:val="00A53268"/>
    <w:rsid w:val="00B23061"/>
    <w:rsid w:val="00B653CA"/>
    <w:rsid w:val="00C27C8C"/>
    <w:rsid w:val="00C93CB1"/>
    <w:rsid w:val="00D85F71"/>
    <w:rsid w:val="00E46156"/>
    <w:rsid w:val="00E654B6"/>
    <w:rsid w:val="00FA6274"/>
    <w:rsid w:val="00FF5DB7"/>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oNotEmbedSmartTags/>
  <w:decimalSymbol w:val="."/>
  <w:listSeparator w:val=","/>
  <w14:docId w14:val="445EA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54B6"/>
    <w:pPr>
      <w:spacing w:line="360" w:lineRule="auto"/>
    </w:pPr>
    <w:rPr>
      <w:rFonts w:ascii="Times New Roman" w:hAnsi="Times New Roman"/>
      <w:sz w:val="24"/>
      <w:szCs w:val="24"/>
    </w:rPr>
  </w:style>
  <w:style w:type="paragraph" w:styleId="Heading1">
    <w:name w:val="heading 1"/>
    <w:basedOn w:val="Normal"/>
    <w:next w:val="Normal"/>
    <w:qFormat/>
    <w:rsid w:val="003117C1"/>
    <w:pPr>
      <w:keepNext/>
      <w:numPr>
        <w:numId w:val="1"/>
      </w:numPr>
      <w:outlineLvl w:val="0"/>
    </w:pPr>
    <w:rPr>
      <w:b/>
      <w:kern w:val="32"/>
      <w:sz w:val="28"/>
      <w:szCs w:val="32"/>
    </w:rPr>
  </w:style>
  <w:style w:type="paragraph" w:styleId="Heading3">
    <w:name w:val="heading 3"/>
    <w:basedOn w:val="Normal"/>
    <w:next w:val="Normal"/>
    <w:link w:val="Heading3Char"/>
    <w:autoRedefine/>
    <w:unhideWhenUsed/>
    <w:qFormat/>
    <w:rsid w:val="000027C6"/>
    <w:pPr>
      <w:keepNext/>
      <w:keepLines/>
      <w:spacing w:before="200"/>
      <w:ind w:left="720" w:hanging="720"/>
      <w:outlineLvl w:val="2"/>
    </w:pPr>
    <w:rPr>
      <w:rFonts w:eastAsiaTheme="majorEastAsia" w:cstheme="majorBidi"/>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ED58F8"/>
    <w:pPr>
      <w:jc w:val="both"/>
    </w:pPr>
    <w:rPr>
      <w:rFonts w:eastAsia="Calibri"/>
      <w:sz w:val="22"/>
    </w:rPr>
  </w:style>
  <w:style w:type="paragraph" w:customStyle="1" w:styleId="quotation">
    <w:name w:val="quotation"/>
    <w:basedOn w:val="Normal"/>
    <w:autoRedefine/>
    <w:qFormat/>
    <w:rsid w:val="007362F0"/>
    <w:pPr>
      <w:autoSpaceDE w:val="0"/>
      <w:autoSpaceDN w:val="0"/>
      <w:adjustRightInd w:val="0"/>
      <w:spacing w:before="120" w:after="120" w:line="240" w:lineRule="auto"/>
      <w:ind w:left="397" w:right="397"/>
      <w:contextualSpacing/>
      <w:jc w:val="both"/>
    </w:pPr>
    <w:rPr>
      <w:rFonts w:eastAsia="Calibri"/>
      <w:sz w:val="22"/>
      <w:szCs w:val="22"/>
    </w:rPr>
  </w:style>
  <w:style w:type="paragraph" w:styleId="PlainText">
    <w:name w:val="Plain Text"/>
    <w:basedOn w:val="Normal"/>
    <w:rsid w:val="00ED58F8"/>
    <w:rPr>
      <w:rFonts w:eastAsia="Calibri"/>
    </w:rPr>
  </w:style>
  <w:style w:type="character" w:customStyle="1" w:styleId="Heading3Char">
    <w:name w:val="Heading 3 Char"/>
    <w:basedOn w:val="DefaultParagraphFont"/>
    <w:link w:val="Heading3"/>
    <w:rsid w:val="000027C6"/>
    <w:rPr>
      <w:rFonts w:ascii="Times New Roman" w:eastAsiaTheme="majorEastAsia" w:hAnsi="Times New Roman" w:cstheme="majorBidi"/>
      <w:b/>
      <w:bCs/>
      <w:sz w:val="24"/>
      <w:szCs w:val="24"/>
      <w:u w:val="single"/>
    </w:rPr>
  </w:style>
  <w:style w:type="paragraph" w:customStyle="1" w:styleId="footnotechristine">
    <w:name w:val="footnote christine"/>
    <w:basedOn w:val="Normal"/>
    <w:link w:val="footnotechristineChar"/>
    <w:autoRedefine/>
    <w:qFormat/>
    <w:rsid w:val="00E654B6"/>
    <w:pPr>
      <w:widowControl w:val="0"/>
      <w:autoSpaceDE w:val="0"/>
      <w:autoSpaceDN w:val="0"/>
      <w:spacing w:line="240" w:lineRule="auto"/>
      <w:ind w:left="289" w:hanging="289"/>
    </w:pPr>
    <w:rPr>
      <w:rFonts w:eastAsia="Times New Roman" w:cs="Times New Roman"/>
      <w:sz w:val="20"/>
      <w:szCs w:val="20"/>
      <w:lang w:eastAsia="en-GB"/>
    </w:rPr>
  </w:style>
  <w:style w:type="character" w:customStyle="1" w:styleId="footnotechristineChar">
    <w:name w:val="footnote christine Char"/>
    <w:basedOn w:val="DefaultParagraphFont"/>
    <w:link w:val="footnotechristine"/>
    <w:rsid w:val="00E654B6"/>
    <w:rPr>
      <w:rFonts w:ascii="Times New Roman" w:eastAsia="Times New Roman" w:hAnsi="Times New Roman" w:cs="Times New Roman"/>
      <w:sz w:val="20"/>
      <w:lang w:val="en-GB" w:eastAsia="en-GB"/>
    </w:rPr>
  </w:style>
  <w:style w:type="paragraph" w:styleId="Title">
    <w:name w:val="Title"/>
    <w:basedOn w:val="Normal"/>
    <w:link w:val="TitleChar"/>
    <w:qFormat/>
    <w:rsid w:val="00A53268"/>
    <w:pPr>
      <w:spacing w:line="240" w:lineRule="auto"/>
      <w:jc w:val="center"/>
    </w:pPr>
    <w:rPr>
      <w:rFonts w:eastAsia="Times New Roman" w:cs="Times New Roman"/>
      <w:b/>
      <w:szCs w:val="20"/>
      <w:lang w:val="en-GB" w:eastAsia="en-GB"/>
    </w:rPr>
  </w:style>
  <w:style w:type="character" w:customStyle="1" w:styleId="TitleChar">
    <w:name w:val="Title Char"/>
    <w:basedOn w:val="DefaultParagraphFont"/>
    <w:link w:val="Title"/>
    <w:rsid w:val="00A53268"/>
    <w:rPr>
      <w:rFonts w:ascii="Times New Roman" w:eastAsia="Times New Roman" w:hAnsi="Times New Roman" w:cs="Times New Roman"/>
      <w:b/>
      <w:sz w:val="24"/>
      <w:lang w:val="en-GB" w:eastAsia="en-GB"/>
    </w:rPr>
  </w:style>
  <w:style w:type="paragraph" w:styleId="ListBullet">
    <w:name w:val="List Bullet"/>
    <w:basedOn w:val="Normal"/>
    <w:autoRedefine/>
    <w:rsid w:val="00A53268"/>
    <w:pPr>
      <w:numPr>
        <w:numId w:val="4"/>
      </w:numPr>
      <w:spacing w:line="240" w:lineRule="auto"/>
    </w:pPr>
    <w:rPr>
      <w:rFonts w:eastAsia="Times New Roman" w:cs="Times New Roman"/>
      <w:szCs w:val="20"/>
      <w:lang w:val="en-GB" w:eastAsia="en-GB"/>
    </w:rPr>
  </w:style>
  <w:style w:type="paragraph" w:styleId="BodyText">
    <w:name w:val="Body Text"/>
    <w:basedOn w:val="Normal"/>
    <w:link w:val="BodyTextChar"/>
    <w:rsid w:val="00FF5DB7"/>
    <w:pPr>
      <w:spacing w:line="240" w:lineRule="auto"/>
    </w:pPr>
    <w:rPr>
      <w:rFonts w:eastAsia="Times New Roman" w:cs="Times New Roman"/>
      <w:b/>
      <w:szCs w:val="20"/>
      <w:lang w:val="en-GB" w:eastAsia="en-GB"/>
    </w:rPr>
  </w:style>
  <w:style w:type="character" w:customStyle="1" w:styleId="BodyTextChar">
    <w:name w:val="Body Text Char"/>
    <w:basedOn w:val="DefaultParagraphFont"/>
    <w:link w:val="BodyText"/>
    <w:rsid w:val="00FF5DB7"/>
    <w:rPr>
      <w:rFonts w:ascii="Times New Roman" w:eastAsia="Times New Roman" w:hAnsi="Times New Roman" w:cs="Times New Roman"/>
      <w:b/>
      <w:sz w:val="24"/>
      <w:lang w:val="en-GB" w:eastAsia="en-GB"/>
    </w:rPr>
  </w:style>
  <w:style w:type="character" w:styleId="CommentReference">
    <w:name w:val="annotation reference"/>
    <w:basedOn w:val="DefaultParagraphFont"/>
    <w:uiPriority w:val="99"/>
    <w:semiHidden/>
    <w:unhideWhenUsed/>
    <w:rsid w:val="000027C6"/>
    <w:rPr>
      <w:sz w:val="18"/>
      <w:szCs w:val="18"/>
    </w:rPr>
  </w:style>
  <w:style w:type="paragraph" w:styleId="CommentText">
    <w:name w:val="annotation text"/>
    <w:basedOn w:val="Normal"/>
    <w:link w:val="CommentTextChar"/>
    <w:uiPriority w:val="99"/>
    <w:semiHidden/>
    <w:unhideWhenUsed/>
    <w:rsid w:val="000027C6"/>
    <w:pPr>
      <w:spacing w:line="240" w:lineRule="auto"/>
    </w:pPr>
  </w:style>
  <w:style w:type="character" w:customStyle="1" w:styleId="CommentTextChar">
    <w:name w:val="Comment Text Char"/>
    <w:basedOn w:val="DefaultParagraphFont"/>
    <w:link w:val="CommentText"/>
    <w:uiPriority w:val="99"/>
    <w:semiHidden/>
    <w:rsid w:val="000027C6"/>
    <w:rPr>
      <w:rFonts w:ascii="Times New Roman" w:hAnsi="Times New Roman"/>
      <w:sz w:val="24"/>
      <w:szCs w:val="24"/>
    </w:rPr>
  </w:style>
  <w:style w:type="paragraph" w:styleId="CommentSubject">
    <w:name w:val="annotation subject"/>
    <w:basedOn w:val="CommentText"/>
    <w:next w:val="CommentText"/>
    <w:link w:val="CommentSubjectChar"/>
    <w:uiPriority w:val="99"/>
    <w:semiHidden/>
    <w:unhideWhenUsed/>
    <w:rsid w:val="000027C6"/>
    <w:rPr>
      <w:b/>
      <w:bCs/>
      <w:sz w:val="20"/>
      <w:szCs w:val="20"/>
    </w:rPr>
  </w:style>
  <w:style w:type="character" w:customStyle="1" w:styleId="CommentSubjectChar">
    <w:name w:val="Comment Subject Char"/>
    <w:basedOn w:val="CommentTextChar"/>
    <w:link w:val="CommentSubject"/>
    <w:uiPriority w:val="99"/>
    <w:semiHidden/>
    <w:rsid w:val="000027C6"/>
    <w:rPr>
      <w:rFonts w:ascii="Times New Roman" w:hAnsi="Times New Roman"/>
      <w:b/>
      <w:bCs/>
      <w:sz w:val="24"/>
      <w:szCs w:val="24"/>
    </w:rPr>
  </w:style>
  <w:style w:type="paragraph" w:styleId="BalloonText">
    <w:name w:val="Balloon Text"/>
    <w:basedOn w:val="Normal"/>
    <w:link w:val="BalloonTextChar"/>
    <w:uiPriority w:val="99"/>
    <w:semiHidden/>
    <w:unhideWhenUsed/>
    <w:rsid w:val="000027C6"/>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027C6"/>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54B6"/>
    <w:pPr>
      <w:spacing w:line="360" w:lineRule="auto"/>
    </w:pPr>
    <w:rPr>
      <w:rFonts w:ascii="Times New Roman" w:hAnsi="Times New Roman"/>
      <w:sz w:val="24"/>
      <w:szCs w:val="24"/>
    </w:rPr>
  </w:style>
  <w:style w:type="paragraph" w:styleId="Heading1">
    <w:name w:val="heading 1"/>
    <w:basedOn w:val="Normal"/>
    <w:next w:val="Normal"/>
    <w:qFormat/>
    <w:rsid w:val="003117C1"/>
    <w:pPr>
      <w:keepNext/>
      <w:numPr>
        <w:numId w:val="1"/>
      </w:numPr>
      <w:outlineLvl w:val="0"/>
    </w:pPr>
    <w:rPr>
      <w:b/>
      <w:kern w:val="32"/>
      <w:sz w:val="28"/>
      <w:szCs w:val="32"/>
    </w:rPr>
  </w:style>
  <w:style w:type="paragraph" w:styleId="Heading3">
    <w:name w:val="heading 3"/>
    <w:basedOn w:val="Normal"/>
    <w:next w:val="Normal"/>
    <w:link w:val="Heading3Char"/>
    <w:autoRedefine/>
    <w:unhideWhenUsed/>
    <w:qFormat/>
    <w:rsid w:val="000027C6"/>
    <w:pPr>
      <w:keepNext/>
      <w:keepLines/>
      <w:spacing w:before="200"/>
      <w:ind w:left="720" w:hanging="720"/>
      <w:outlineLvl w:val="2"/>
    </w:pPr>
    <w:rPr>
      <w:rFonts w:eastAsiaTheme="majorEastAsia" w:cstheme="majorBidi"/>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ED58F8"/>
    <w:pPr>
      <w:jc w:val="both"/>
    </w:pPr>
    <w:rPr>
      <w:rFonts w:eastAsia="Calibri"/>
      <w:sz w:val="22"/>
    </w:rPr>
  </w:style>
  <w:style w:type="paragraph" w:customStyle="1" w:styleId="quotation">
    <w:name w:val="quotation"/>
    <w:basedOn w:val="Normal"/>
    <w:autoRedefine/>
    <w:qFormat/>
    <w:rsid w:val="007362F0"/>
    <w:pPr>
      <w:autoSpaceDE w:val="0"/>
      <w:autoSpaceDN w:val="0"/>
      <w:adjustRightInd w:val="0"/>
      <w:spacing w:before="120" w:after="120" w:line="240" w:lineRule="auto"/>
      <w:ind w:left="397" w:right="397"/>
      <w:contextualSpacing/>
      <w:jc w:val="both"/>
    </w:pPr>
    <w:rPr>
      <w:rFonts w:eastAsia="Calibri"/>
      <w:sz w:val="22"/>
      <w:szCs w:val="22"/>
    </w:rPr>
  </w:style>
  <w:style w:type="paragraph" w:styleId="PlainText">
    <w:name w:val="Plain Text"/>
    <w:basedOn w:val="Normal"/>
    <w:rsid w:val="00ED58F8"/>
    <w:rPr>
      <w:rFonts w:eastAsia="Calibri"/>
    </w:rPr>
  </w:style>
  <w:style w:type="character" w:customStyle="1" w:styleId="Heading3Char">
    <w:name w:val="Heading 3 Char"/>
    <w:basedOn w:val="DefaultParagraphFont"/>
    <w:link w:val="Heading3"/>
    <w:rsid w:val="000027C6"/>
    <w:rPr>
      <w:rFonts w:ascii="Times New Roman" w:eastAsiaTheme="majorEastAsia" w:hAnsi="Times New Roman" w:cstheme="majorBidi"/>
      <w:b/>
      <w:bCs/>
      <w:sz w:val="24"/>
      <w:szCs w:val="24"/>
      <w:u w:val="single"/>
    </w:rPr>
  </w:style>
  <w:style w:type="paragraph" w:customStyle="1" w:styleId="footnotechristine">
    <w:name w:val="footnote christine"/>
    <w:basedOn w:val="Normal"/>
    <w:link w:val="footnotechristineChar"/>
    <w:autoRedefine/>
    <w:qFormat/>
    <w:rsid w:val="00E654B6"/>
    <w:pPr>
      <w:widowControl w:val="0"/>
      <w:autoSpaceDE w:val="0"/>
      <w:autoSpaceDN w:val="0"/>
      <w:spacing w:line="240" w:lineRule="auto"/>
      <w:ind w:left="289" w:hanging="289"/>
    </w:pPr>
    <w:rPr>
      <w:rFonts w:eastAsia="Times New Roman" w:cs="Times New Roman"/>
      <w:sz w:val="20"/>
      <w:szCs w:val="20"/>
      <w:lang w:eastAsia="en-GB"/>
    </w:rPr>
  </w:style>
  <w:style w:type="character" w:customStyle="1" w:styleId="footnotechristineChar">
    <w:name w:val="footnote christine Char"/>
    <w:basedOn w:val="DefaultParagraphFont"/>
    <w:link w:val="footnotechristine"/>
    <w:rsid w:val="00E654B6"/>
    <w:rPr>
      <w:rFonts w:ascii="Times New Roman" w:eastAsia="Times New Roman" w:hAnsi="Times New Roman" w:cs="Times New Roman"/>
      <w:sz w:val="20"/>
      <w:lang w:val="en-GB" w:eastAsia="en-GB"/>
    </w:rPr>
  </w:style>
  <w:style w:type="paragraph" w:styleId="Title">
    <w:name w:val="Title"/>
    <w:basedOn w:val="Normal"/>
    <w:link w:val="TitleChar"/>
    <w:qFormat/>
    <w:rsid w:val="00A53268"/>
    <w:pPr>
      <w:spacing w:line="240" w:lineRule="auto"/>
      <w:jc w:val="center"/>
    </w:pPr>
    <w:rPr>
      <w:rFonts w:eastAsia="Times New Roman" w:cs="Times New Roman"/>
      <w:b/>
      <w:szCs w:val="20"/>
      <w:lang w:val="en-GB" w:eastAsia="en-GB"/>
    </w:rPr>
  </w:style>
  <w:style w:type="character" w:customStyle="1" w:styleId="TitleChar">
    <w:name w:val="Title Char"/>
    <w:basedOn w:val="DefaultParagraphFont"/>
    <w:link w:val="Title"/>
    <w:rsid w:val="00A53268"/>
    <w:rPr>
      <w:rFonts w:ascii="Times New Roman" w:eastAsia="Times New Roman" w:hAnsi="Times New Roman" w:cs="Times New Roman"/>
      <w:b/>
      <w:sz w:val="24"/>
      <w:lang w:val="en-GB" w:eastAsia="en-GB"/>
    </w:rPr>
  </w:style>
  <w:style w:type="paragraph" w:styleId="ListBullet">
    <w:name w:val="List Bullet"/>
    <w:basedOn w:val="Normal"/>
    <w:autoRedefine/>
    <w:rsid w:val="00A53268"/>
    <w:pPr>
      <w:numPr>
        <w:numId w:val="4"/>
      </w:numPr>
      <w:spacing w:line="240" w:lineRule="auto"/>
    </w:pPr>
    <w:rPr>
      <w:rFonts w:eastAsia="Times New Roman" w:cs="Times New Roman"/>
      <w:szCs w:val="20"/>
      <w:lang w:val="en-GB" w:eastAsia="en-GB"/>
    </w:rPr>
  </w:style>
  <w:style w:type="paragraph" w:styleId="BodyText">
    <w:name w:val="Body Text"/>
    <w:basedOn w:val="Normal"/>
    <w:link w:val="BodyTextChar"/>
    <w:rsid w:val="00FF5DB7"/>
    <w:pPr>
      <w:spacing w:line="240" w:lineRule="auto"/>
    </w:pPr>
    <w:rPr>
      <w:rFonts w:eastAsia="Times New Roman" w:cs="Times New Roman"/>
      <w:b/>
      <w:szCs w:val="20"/>
      <w:lang w:val="en-GB" w:eastAsia="en-GB"/>
    </w:rPr>
  </w:style>
  <w:style w:type="character" w:customStyle="1" w:styleId="BodyTextChar">
    <w:name w:val="Body Text Char"/>
    <w:basedOn w:val="DefaultParagraphFont"/>
    <w:link w:val="BodyText"/>
    <w:rsid w:val="00FF5DB7"/>
    <w:rPr>
      <w:rFonts w:ascii="Times New Roman" w:eastAsia="Times New Roman" w:hAnsi="Times New Roman" w:cs="Times New Roman"/>
      <w:b/>
      <w:sz w:val="24"/>
      <w:lang w:val="en-GB" w:eastAsia="en-GB"/>
    </w:rPr>
  </w:style>
  <w:style w:type="character" w:styleId="CommentReference">
    <w:name w:val="annotation reference"/>
    <w:basedOn w:val="DefaultParagraphFont"/>
    <w:uiPriority w:val="99"/>
    <w:semiHidden/>
    <w:unhideWhenUsed/>
    <w:rsid w:val="000027C6"/>
    <w:rPr>
      <w:sz w:val="18"/>
      <w:szCs w:val="18"/>
    </w:rPr>
  </w:style>
  <w:style w:type="paragraph" w:styleId="CommentText">
    <w:name w:val="annotation text"/>
    <w:basedOn w:val="Normal"/>
    <w:link w:val="CommentTextChar"/>
    <w:uiPriority w:val="99"/>
    <w:semiHidden/>
    <w:unhideWhenUsed/>
    <w:rsid w:val="000027C6"/>
    <w:pPr>
      <w:spacing w:line="240" w:lineRule="auto"/>
    </w:pPr>
  </w:style>
  <w:style w:type="character" w:customStyle="1" w:styleId="CommentTextChar">
    <w:name w:val="Comment Text Char"/>
    <w:basedOn w:val="DefaultParagraphFont"/>
    <w:link w:val="CommentText"/>
    <w:uiPriority w:val="99"/>
    <w:semiHidden/>
    <w:rsid w:val="000027C6"/>
    <w:rPr>
      <w:rFonts w:ascii="Times New Roman" w:hAnsi="Times New Roman"/>
      <w:sz w:val="24"/>
      <w:szCs w:val="24"/>
    </w:rPr>
  </w:style>
  <w:style w:type="paragraph" w:styleId="CommentSubject">
    <w:name w:val="annotation subject"/>
    <w:basedOn w:val="CommentText"/>
    <w:next w:val="CommentText"/>
    <w:link w:val="CommentSubjectChar"/>
    <w:uiPriority w:val="99"/>
    <w:semiHidden/>
    <w:unhideWhenUsed/>
    <w:rsid w:val="000027C6"/>
    <w:rPr>
      <w:b/>
      <w:bCs/>
      <w:sz w:val="20"/>
      <w:szCs w:val="20"/>
    </w:rPr>
  </w:style>
  <w:style w:type="character" w:customStyle="1" w:styleId="CommentSubjectChar">
    <w:name w:val="Comment Subject Char"/>
    <w:basedOn w:val="CommentTextChar"/>
    <w:link w:val="CommentSubject"/>
    <w:uiPriority w:val="99"/>
    <w:semiHidden/>
    <w:rsid w:val="000027C6"/>
    <w:rPr>
      <w:rFonts w:ascii="Times New Roman" w:hAnsi="Times New Roman"/>
      <w:b/>
      <w:bCs/>
      <w:sz w:val="24"/>
      <w:szCs w:val="24"/>
    </w:rPr>
  </w:style>
  <w:style w:type="paragraph" w:styleId="BalloonText">
    <w:name w:val="Balloon Text"/>
    <w:basedOn w:val="Normal"/>
    <w:link w:val="BalloonTextChar"/>
    <w:uiPriority w:val="99"/>
    <w:semiHidden/>
    <w:unhideWhenUsed/>
    <w:rsid w:val="000027C6"/>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027C6"/>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26</Pages>
  <Words>6191</Words>
  <Characters>35290</Characters>
  <Application>Microsoft Macintosh Word</Application>
  <DocSecurity>0</DocSecurity>
  <Lines>294</Lines>
  <Paragraphs>82</Paragraphs>
  <ScaleCrop>false</ScaleCrop>
  <Company>University of Warwick</Company>
  <LinksUpToDate>false</LinksUpToDate>
  <CharactersWithSpaces>41399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Achinger User</dc:creator>
  <cp:keywords/>
  <dc:description/>
  <cp:lastModifiedBy>Birgit Röder</cp:lastModifiedBy>
  <cp:revision>2</cp:revision>
  <dcterms:created xsi:type="dcterms:W3CDTF">2016-09-22T13:23:00Z</dcterms:created>
  <dcterms:modified xsi:type="dcterms:W3CDTF">2016-09-22T13:23:00Z</dcterms:modified>
</cp:coreProperties>
</file>