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6115" w:rsidRDefault="0080062E">
      <w:r>
        <w:rPr>
          <w:noProof/>
        </w:rPr>
        <mc:AlternateContent>
          <mc:Choice Requires="wps">
            <w:drawing>
              <wp:anchor distT="0" distB="0" distL="114300" distR="114300" simplePos="0" relativeHeight="251660288" behindDoc="0" locked="0" layoutInCell="1" allowOverlap="1">
                <wp:simplePos x="0" y="0"/>
                <wp:positionH relativeFrom="column">
                  <wp:posOffset>-551815</wp:posOffset>
                </wp:positionH>
                <wp:positionV relativeFrom="paragraph">
                  <wp:posOffset>-552450</wp:posOffset>
                </wp:positionV>
                <wp:extent cx="6868795" cy="2860675"/>
                <wp:effectExtent l="10795" t="9525" r="6985" b="635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68795" cy="2860675"/>
                        </a:xfrm>
                        <a:prstGeom prst="rect">
                          <a:avLst/>
                        </a:prstGeom>
                        <a:solidFill>
                          <a:schemeClr val="bg1">
                            <a:lumMod val="85000"/>
                            <a:lumOff val="0"/>
                          </a:schemeClr>
                        </a:solidFill>
                        <a:ln w="9525">
                          <a:solidFill>
                            <a:srgbClr val="000000"/>
                          </a:solidFill>
                          <a:miter lim="800000"/>
                          <a:headEnd/>
                          <a:tailEnd/>
                        </a:ln>
                      </wps:spPr>
                      <wps:txbx>
                        <w:txbxContent>
                          <w:p w:rsidR="00B36115" w:rsidRDefault="00B36115" w:rsidP="00B36115">
                            <w:r w:rsidRPr="00B36115">
                              <w:rPr>
                                <w:b/>
                              </w:rPr>
                              <w:t>Department of German Studies</w:t>
                            </w:r>
                            <w:r w:rsidR="0035492C">
                              <w:t xml:space="preserve"> </w:t>
                            </w:r>
                            <w:r w:rsidRPr="00B36115">
                              <w:rPr>
                                <w:b/>
                              </w:rPr>
                              <w:t xml:space="preserve">GE </w:t>
                            </w:r>
                            <w:r w:rsidR="0080062E">
                              <w:rPr>
                                <w:b/>
                              </w:rPr>
                              <w:t xml:space="preserve">432 </w:t>
                            </w:r>
                            <w:proofErr w:type="gramStart"/>
                            <w:r w:rsidR="0080062E">
                              <w:rPr>
                                <w:b/>
                              </w:rPr>
                              <w:t>The</w:t>
                            </w:r>
                            <w:proofErr w:type="gramEnd"/>
                            <w:r w:rsidR="0080062E">
                              <w:rPr>
                                <w:b/>
                              </w:rPr>
                              <w:t xml:space="preserve"> Self and the Others II: Identity, Gender, and Ethnicity in German Culture around 1800</w:t>
                            </w:r>
                          </w:p>
                          <w:p w:rsidR="00B36115" w:rsidRPr="00B36115" w:rsidRDefault="00B36115" w:rsidP="00B36115">
                            <w:r w:rsidRPr="00B36115">
                              <w:rPr>
                                <w:b/>
                              </w:rPr>
                              <w:t>Essay Topics: 2013-14</w:t>
                            </w:r>
                          </w:p>
                          <w:p w:rsidR="00B36115" w:rsidRDefault="0080062E" w:rsidP="000B04EE">
                            <w:pPr>
                              <w:spacing w:after="0" w:line="360" w:lineRule="auto"/>
                            </w:pPr>
                            <w:r>
                              <w:t>Please write one</w:t>
                            </w:r>
                            <w:r w:rsidR="00B36115">
                              <w:t xml:space="preserve"> essay of approx. 4000 words in length on </w:t>
                            </w:r>
                            <w:r w:rsidR="00B36115" w:rsidRPr="000B04EE">
                              <w:rPr>
                                <w:b/>
                              </w:rPr>
                              <w:t>one</w:t>
                            </w:r>
                            <w:r>
                              <w:t xml:space="preserve"> of the following topics from either section A or B.</w:t>
                            </w:r>
                            <w:r w:rsidR="00B36115">
                              <w:t xml:space="preserve"> </w:t>
                            </w:r>
                          </w:p>
                          <w:p w:rsidR="00B36115" w:rsidRDefault="00B36115" w:rsidP="000B04EE">
                            <w:pPr>
                              <w:spacing w:after="0" w:line="360" w:lineRule="auto"/>
                            </w:pPr>
                            <w:r>
                              <w:t xml:space="preserve">Your essay must conform to the guidelines in the </w:t>
                            </w:r>
                            <w:r w:rsidRPr="000B04EE">
                              <w:rPr>
                                <w:b/>
                              </w:rPr>
                              <w:t>departmental handbook</w:t>
                            </w:r>
                            <w:r>
                              <w:t xml:space="preserve"> (1.5 line spacing, page numbers at top of page, footnotes at bottom, bibliography of primary and secondary sources at the end). </w:t>
                            </w:r>
                          </w:p>
                          <w:p w:rsidR="00B36115" w:rsidRDefault="00B36115" w:rsidP="000B04EE">
                            <w:pPr>
                              <w:spacing w:after="0" w:line="360" w:lineRule="auto"/>
                            </w:pPr>
                            <w:r>
                              <w:t xml:space="preserve">Please bear in mind departmental guidelines on </w:t>
                            </w:r>
                            <w:r w:rsidRPr="000B04EE">
                              <w:rPr>
                                <w:b/>
                              </w:rPr>
                              <w:t>plagiarism</w:t>
                            </w:r>
                            <w:r>
                              <w:t xml:space="preserve">. </w:t>
                            </w:r>
                          </w:p>
                          <w:p w:rsidR="00B36115" w:rsidRPr="000B04EE" w:rsidRDefault="00B36115" w:rsidP="000B04EE">
                            <w:pPr>
                              <w:spacing w:after="0" w:line="360" w:lineRule="auto"/>
                              <w:rPr>
                                <w:b/>
                              </w:rPr>
                            </w:pPr>
                            <w:r>
                              <w:t xml:space="preserve">Your argument must be based on </w:t>
                            </w:r>
                            <w:r w:rsidRPr="000B04EE">
                              <w:rPr>
                                <w:b/>
                              </w:rPr>
                              <w:t>ample textual evidence</w:t>
                            </w:r>
                            <w:r>
                              <w:t>.</w:t>
                            </w:r>
                          </w:p>
                          <w:p w:rsidR="000B04EE" w:rsidRPr="0080062E" w:rsidRDefault="00B36115" w:rsidP="00B36115">
                            <w:pPr>
                              <w:spacing w:after="0" w:line="360" w:lineRule="auto"/>
                            </w:pPr>
                            <w:r>
                              <w:t xml:space="preserve">Please consult the departmental web-pages and notice boards for </w:t>
                            </w:r>
                            <w:r w:rsidRPr="000B04EE">
                              <w:rPr>
                                <w:b/>
                              </w:rPr>
                              <w:t>submission dates</w:t>
                            </w:r>
                            <w:r>
                              <w:t xml:space="preserve"> and hand in your essay </w:t>
                            </w:r>
                            <w:r w:rsidRPr="000B04EE">
                              <w:rPr>
                                <w:b/>
                              </w:rPr>
                              <w:t>both electronically and in hard-copy</w:t>
                            </w:r>
                            <w:r>
                              <w:t xml:space="preserve">, </w:t>
                            </w:r>
                            <w:bookmarkStart w:id="0" w:name="_GoBack"/>
                            <w:bookmarkEnd w:id="0"/>
                            <w:r>
                              <w:t xml:space="preserve">in line with departmental procedure.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margin-left:-43.45pt;margin-top:-43.5pt;width:540.85pt;height:225.2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" fillcolor="#d8d8d8 [2732]">
                <v:textbox style="mso-fit-shape-to-text:t">
                  <w:txbxContent>
                    <w:p w:rsidR="00B36115" w:rsidRDefault="00B36115" w:rsidP="00B36115">
                      <w:r w:rsidRPr="00B36115">
                        <w:rPr>
                          <w:b/>
                        </w:rPr>
                        <w:t>Department of German Studies</w:t>
                      </w:r>
                      <w:r w:rsidR="0035492C">
                        <w:t xml:space="preserve"> </w:t>
                      </w:r>
                      <w:r w:rsidRPr="00B36115">
                        <w:rPr>
                          <w:b/>
                        </w:rPr>
                        <w:t xml:space="preserve">GE </w:t>
                      </w:r>
                      <w:r w:rsidR="0080062E">
                        <w:rPr>
                          <w:b/>
                        </w:rPr>
                        <w:t xml:space="preserve">432 </w:t>
                      </w:r>
                      <w:proofErr w:type="gramStart"/>
                      <w:r w:rsidR="0080062E">
                        <w:rPr>
                          <w:b/>
                        </w:rPr>
                        <w:t>The</w:t>
                      </w:r>
                      <w:proofErr w:type="gramEnd"/>
                      <w:r w:rsidR="0080062E">
                        <w:rPr>
                          <w:b/>
                        </w:rPr>
                        <w:t xml:space="preserve"> Self and the Others II: Identity, Gender, and Ethnicity in German Culture around 1800</w:t>
                      </w:r>
                    </w:p>
                    <w:p w:rsidR="00B36115" w:rsidRPr="00B36115" w:rsidRDefault="00B36115" w:rsidP="00B36115">
                      <w:r w:rsidRPr="00B36115">
                        <w:rPr>
                          <w:b/>
                        </w:rPr>
                        <w:t>Essay Topics: 2013-14</w:t>
                      </w:r>
                    </w:p>
                    <w:p w:rsidR="00B36115" w:rsidRDefault="0080062E" w:rsidP="000B04EE">
                      <w:pPr>
                        <w:spacing w:after="0" w:line="360" w:lineRule="auto"/>
                      </w:pPr>
                      <w:r>
                        <w:t>Please write one</w:t>
                      </w:r>
                      <w:r w:rsidR="00B36115">
                        <w:t xml:space="preserve"> essay of approx. 4000 words in length on </w:t>
                      </w:r>
                      <w:r w:rsidR="00B36115" w:rsidRPr="000B04EE">
                        <w:rPr>
                          <w:b/>
                        </w:rPr>
                        <w:t>one</w:t>
                      </w:r>
                      <w:r>
                        <w:t xml:space="preserve"> of the following topics from either section A or B.</w:t>
                      </w:r>
                      <w:r w:rsidR="00B36115">
                        <w:t xml:space="preserve"> </w:t>
                      </w:r>
                    </w:p>
                    <w:p w:rsidR="00B36115" w:rsidRDefault="00B36115" w:rsidP="000B04EE">
                      <w:pPr>
                        <w:spacing w:after="0" w:line="360" w:lineRule="auto"/>
                      </w:pPr>
                      <w:r>
                        <w:t xml:space="preserve">Your essay must conform to the guidelines in the </w:t>
                      </w:r>
                      <w:r w:rsidRPr="000B04EE">
                        <w:rPr>
                          <w:b/>
                        </w:rPr>
                        <w:t>departmental handbook</w:t>
                      </w:r>
                      <w:r>
                        <w:t xml:space="preserve"> (1.5 line spacing, page numbers at top of page, footnotes at bottom, bibliography of primary and secondary sources at the end). </w:t>
                      </w:r>
                    </w:p>
                    <w:p w:rsidR="00B36115" w:rsidRDefault="00B36115" w:rsidP="000B04EE">
                      <w:pPr>
                        <w:spacing w:after="0" w:line="360" w:lineRule="auto"/>
                      </w:pPr>
                      <w:r>
                        <w:t xml:space="preserve">Please bear in mind departmental guidelines on </w:t>
                      </w:r>
                      <w:r w:rsidRPr="000B04EE">
                        <w:rPr>
                          <w:b/>
                        </w:rPr>
                        <w:t>plagiarism</w:t>
                      </w:r>
                      <w:r>
                        <w:t xml:space="preserve">. </w:t>
                      </w:r>
                    </w:p>
                    <w:p w:rsidR="00B36115" w:rsidRPr="000B04EE" w:rsidRDefault="00B36115" w:rsidP="000B04EE">
                      <w:pPr>
                        <w:spacing w:after="0" w:line="360" w:lineRule="auto"/>
                        <w:rPr>
                          <w:b/>
                        </w:rPr>
                      </w:pPr>
                      <w:r>
                        <w:t xml:space="preserve">Your argument must be based on </w:t>
                      </w:r>
                      <w:r w:rsidRPr="000B04EE">
                        <w:rPr>
                          <w:b/>
                        </w:rPr>
                        <w:t>ample textual evidence</w:t>
                      </w:r>
                      <w:r>
                        <w:t>.</w:t>
                      </w:r>
                    </w:p>
                    <w:p w:rsidR="000B04EE" w:rsidRPr="0080062E" w:rsidRDefault="00B36115" w:rsidP="00B36115">
                      <w:pPr>
                        <w:spacing w:after="0" w:line="360" w:lineRule="auto"/>
                      </w:pPr>
                      <w:r>
                        <w:t xml:space="preserve">Please consult the departmental web-pages and notice boards for </w:t>
                      </w:r>
                      <w:r w:rsidRPr="000B04EE">
                        <w:rPr>
                          <w:b/>
                        </w:rPr>
                        <w:t>submission dates</w:t>
                      </w:r>
                      <w:r>
                        <w:t xml:space="preserve"> and hand in your essay </w:t>
                      </w:r>
                      <w:r w:rsidRPr="000B04EE">
                        <w:rPr>
                          <w:b/>
                        </w:rPr>
                        <w:t>both electronically and in hard-copy</w:t>
                      </w:r>
                      <w:r>
                        <w:t xml:space="preserve">, </w:t>
                      </w:r>
                      <w:bookmarkStart w:id="1" w:name="_GoBack"/>
                      <w:bookmarkEnd w:id="1"/>
                      <w:r>
                        <w:t xml:space="preserve">in line with departmental procedure.  </w:t>
                      </w:r>
                    </w:p>
                  </w:txbxContent>
                </v:textbox>
              </v:shape>
            </w:pict>
          </mc:Fallback>
        </mc:AlternateContent>
      </w:r>
    </w:p>
    <w:p w:rsidR="00B36115" w:rsidRPr="00B36115" w:rsidRDefault="00B36115" w:rsidP="00B36115"/>
    <w:p w:rsidR="00B36115" w:rsidRPr="00B36115" w:rsidRDefault="00B36115" w:rsidP="00B36115"/>
    <w:p w:rsidR="00B36115" w:rsidRPr="00B36115" w:rsidRDefault="00B36115" w:rsidP="00B36115"/>
    <w:p w:rsidR="00B36115" w:rsidRPr="00B36115" w:rsidRDefault="00B36115" w:rsidP="00B36115"/>
    <w:p w:rsidR="00B36115" w:rsidRPr="00B36115" w:rsidRDefault="00B36115" w:rsidP="00B36115"/>
    <w:p w:rsidR="00B36115" w:rsidRPr="00B36115" w:rsidRDefault="00B36115" w:rsidP="00B36115"/>
    <w:p w:rsidR="00B36115" w:rsidRPr="00B36115" w:rsidRDefault="00B36115" w:rsidP="0080062E"/>
    <w:p w:rsidR="0080062E" w:rsidRPr="0080062E" w:rsidRDefault="0080062E" w:rsidP="0080062E">
      <w:pPr>
        <w:ind w:left="-567"/>
        <w:jc w:val="both"/>
        <w:rPr>
          <w:b/>
          <w:u w:val="single"/>
        </w:rPr>
      </w:pPr>
      <w:r w:rsidRPr="0080062E">
        <w:rPr>
          <w:b/>
          <w:u w:val="single"/>
        </w:rPr>
        <w:t>Section A: Patterns and Tendencies</w:t>
      </w:r>
    </w:p>
    <w:p w:rsidR="0080062E" w:rsidRDefault="0080062E" w:rsidP="0080062E">
      <w:pPr>
        <w:ind w:left="-567"/>
        <w:jc w:val="both"/>
      </w:pPr>
      <w:r>
        <w:t>1.</w:t>
      </w:r>
      <w:r>
        <w:tab/>
        <w:t>Discuss the view that communities are as much defined by those whom they exclude, as they are by those who belong to them. Refer closely to TWO or THREE texts that you have read on this module.</w:t>
      </w:r>
    </w:p>
    <w:p w:rsidR="0080062E" w:rsidRDefault="0080062E" w:rsidP="0080062E">
      <w:pPr>
        <w:ind w:left="-567"/>
        <w:jc w:val="both"/>
      </w:pPr>
      <w:r>
        <w:t>2.</w:t>
      </w:r>
      <w:r>
        <w:tab/>
        <w:t>In the literature of this period any attempt to represent an autonomous female subject is overwritten by an idealized femininity constructed by men: discuss this contention in relation to TWO texts that you have read on this module.</w:t>
      </w:r>
    </w:p>
    <w:p w:rsidR="0080062E" w:rsidRDefault="0080062E" w:rsidP="0080062E">
      <w:pPr>
        <w:ind w:left="-567"/>
        <w:jc w:val="both"/>
      </w:pPr>
      <w:r>
        <w:t>3.</w:t>
      </w:r>
      <w:r>
        <w:tab/>
        <w:t>Texts from this period fail to move beyond the vision of a world insurmountably divided in terms of skin colour. Discuss this assertion through close reference to TWO texts that you have read in this module.</w:t>
      </w:r>
    </w:p>
    <w:p w:rsidR="0080062E" w:rsidRDefault="0080062E" w:rsidP="0080062E">
      <w:pPr>
        <w:ind w:left="-567"/>
        <w:jc w:val="both"/>
      </w:pPr>
      <w:r>
        <w:t>4.</w:t>
      </w:r>
      <w:r>
        <w:tab/>
        <w:t>In texts from this period, religious conflicts can at times obscure conflicts generated by issues of gender and ethnicity. Discuss this through close reference to TWO texts that you have read in this module.</w:t>
      </w:r>
    </w:p>
    <w:p w:rsidR="0080062E" w:rsidRDefault="0080062E" w:rsidP="0080062E">
      <w:pPr>
        <w:ind w:left="-567"/>
        <w:jc w:val="both"/>
      </w:pPr>
      <w:r>
        <w:t>5.</w:t>
      </w:r>
      <w:r>
        <w:tab/>
        <w:t>Discuss the view that German literature of this period indulges in fantasies of taming the apparent Islamic threat to Europe: refer to TWO or THREE texts that you have read.</w:t>
      </w:r>
    </w:p>
    <w:p w:rsidR="0080062E" w:rsidRDefault="0080062E" w:rsidP="0080062E">
      <w:pPr>
        <w:ind w:left="-567"/>
        <w:jc w:val="both"/>
      </w:pPr>
      <w:r>
        <w:t>6.</w:t>
      </w:r>
      <w:r>
        <w:tab/>
        <w:t>Discuss the view that, in the literature of this period, the male subject is primarily interested in servicing his own needs. Discuss this judgement in relation to any TWO relevant texts you have read.</w:t>
      </w:r>
    </w:p>
    <w:p w:rsidR="0080062E" w:rsidRPr="0080062E" w:rsidRDefault="0080062E" w:rsidP="0080062E">
      <w:pPr>
        <w:ind w:left="-567"/>
        <w:jc w:val="both"/>
        <w:rPr>
          <w:b/>
          <w:u w:val="single"/>
        </w:rPr>
      </w:pPr>
      <w:r w:rsidRPr="0080062E">
        <w:rPr>
          <w:b/>
          <w:u w:val="single"/>
        </w:rPr>
        <w:t>Section B: Texts</w:t>
      </w:r>
    </w:p>
    <w:p w:rsidR="0080062E" w:rsidRDefault="0080062E" w:rsidP="0080062E">
      <w:pPr>
        <w:ind w:left="-567"/>
        <w:jc w:val="both"/>
      </w:pPr>
      <w:r>
        <w:t>1.</w:t>
      </w:r>
      <w:r>
        <w:tab/>
        <w:t xml:space="preserve">Lessing’s </w:t>
      </w:r>
      <w:r w:rsidRPr="0080062E">
        <w:rPr>
          <w:i/>
        </w:rPr>
        <w:t>Nathan der Weise</w:t>
      </w:r>
      <w:r>
        <w:t xml:space="preserve"> ultimately undercuts its own cosmopolitan ideals. Discuss this judgement with close reference to the text.</w:t>
      </w:r>
    </w:p>
    <w:p w:rsidR="0080062E" w:rsidRDefault="0080062E" w:rsidP="0080062E">
      <w:pPr>
        <w:ind w:left="-567"/>
        <w:jc w:val="both"/>
      </w:pPr>
      <w:r>
        <w:t>2.</w:t>
      </w:r>
      <w:r>
        <w:tab/>
        <w:t xml:space="preserve">Discuss the view that Schiller’s lyrical poems and </w:t>
      </w:r>
      <w:proofErr w:type="spellStart"/>
      <w:r>
        <w:t>Novalis’s</w:t>
      </w:r>
      <w:proofErr w:type="spellEnd"/>
      <w:r>
        <w:t xml:space="preserve"> </w:t>
      </w:r>
      <w:r w:rsidRPr="0080062E">
        <w:rPr>
          <w:i/>
        </w:rPr>
        <w:t xml:space="preserve">Heinrich von </w:t>
      </w:r>
      <w:proofErr w:type="spellStart"/>
      <w:r w:rsidRPr="0080062E">
        <w:rPr>
          <w:i/>
        </w:rPr>
        <w:t>Ofterdingen</w:t>
      </w:r>
      <w:proofErr w:type="spellEnd"/>
      <w:r>
        <w:t xml:space="preserve"> both make femininity a function of art, and prevent women from being artists.</w:t>
      </w:r>
    </w:p>
    <w:p w:rsidR="0080062E" w:rsidRDefault="0080062E" w:rsidP="0080062E">
      <w:pPr>
        <w:ind w:left="-567"/>
        <w:jc w:val="both"/>
      </w:pPr>
      <w:r>
        <w:t>3.</w:t>
      </w:r>
      <w:r>
        <w:tab/>
        <w:t xml:space="preserve">Discuss the view that Goethe’s </w:t>
      </w:r>
      <w:r w:rsidRPr="0080062E">
        <w:rPr>
          <w:i/>
        </w:rPr>
        <w:t>West-</w:t>
      </w:r>
      <w:proofErr w:type="spellStart"/>
      <w:r w:rsidRPr="0080062E">
        <w:rPr>
          <w:i/>
        </w:rPr>
        <w:t>östlicher</w:t>
      </w:r>
      <w:proofErr w:type="spellEnd"/>
      <w:r w:rsidRPr="0080062E">
        <w:rPr>
          <w:i/>
        </w:rPr>
        <w:t xml:space="preserve"> Divan</w:t>
      </w:r>
      <w:r>
        <w:t xml:space="preserve"> tries to look beyond east-west cultural differences but ultimately remains trapped within that binary model.</w:t>
      </w:r>
    </w:p>
    <w:p w:rsidR="0080062E" w:rsidRDefault="0080062E" w:rsidP="0080062E">
      <w:pPr>
        <w:ind w:left="-567"/>
        <w:jc w:val="both"/>
      </w:pPr>
      <w:r>
        <w:t>4.</w:t>
      </w:r>
      <w:r>
        <w:tab/>
        <w:t xml:space="preserve">Discuss the treatment of the female voice in both E.T.A. Hoffmann’s Sanctus and </w:t>
      </w:r>
      <w:proofErr w:type="spellStart"/>
      <w:r>
        <w:t>Novalis’s</w:t>
      </w:r>
      <w:proofErr w:type="spellEnd"/>
      <w:r>
        <w:t xml:space="preserve"> </w:t>
      </w:r>
      <w:proofErr w:type="spellStart"/>
      <w:r w:rsidRPr="0080062E">
        <w:rPr>
          <w:i/>
        </w:rPr>
        <w:t>Ofterdingen</w:t>
      </w:r>
      <w:proofErr w:type="spellEnd"/>
      <w:r>
        <w:t xml:space="preserve">.  </w:t>
      </w:r>
    </w:p>
    <w:p w:rsidR="0080062E" w:rsidRDefault="0080062E" w:rsidP="0080062E">
      <w:pPr>
        <w:ind w:left="-567"/>
        <w:jc w:val="both"/>
      </w:pPr>
      <w:r>
        <w:lastRenderedPageBreak/>
        <w:t>5.</w:t>
      </w:r>
      <w:r>
        <w:tab/>
        <w:t xml:space="preserve">With what success do </w:t>
      </w:r>
      <w:proofErr w:type="spellStart"/>
      <w:r>
        <w:t>Kleists’s</w:t>
      </w:r>
      <w:proofErr w:type="spellEnd"/>
      <w:r>
        <w:t xml:space="preserve"> </w:t>
      </w:r>
      <w:r w:rsidRPr="0080062E">
        <w:rPr>
          <w:i/>
        </w:rPr>
        <w:t xml:space="preserve">Die </w:t>
      </w:r>
      <w:proofErr w:type="spellStart"/>
      <w:r w:rsidRPr="0080062E">
        <w:rPr>
          <w:i/>
        </w:rPr>
        <w:t>Verlobung</w:t>
      </w:r>
      <w:proofErr w:type="spellEnd"/>
      <w:r w:rsidRPr="0080062E">
        <w:rPr>
          <w:i/>
        </w:rPr>
        <w:t xml:space="preserve"> in St Domingo</w:t>
      </w:r>
      <w:r>
        <w:t xml:space="preserve"> and Fischer’s </w:t>
      </w:r>
      <w:r w:rsidRPr="0080062E">
        <w:rPr>
          <w:i/>
        </w:rPr>
        <w:t xml:space="preserve">William der </w:t>
      </w:r>
      <w:proofErr w:type="spellStart"/>
      <w:r w:rsidRPr="0080062E">
        <w:rPr>
          <w:i/>
        </w:rPr>
        <w:t>Neger</w:t>
      </w:r>
      <w:proofErr w:type="spellEnd"/>
      <w:r>
        <w:t xml:space="preserve"> debunk the stereotype of black Africans as inherently amoral and savage?</w:t>
      </w:r>
    </w:p>
    <w:p w:rsidR="00B36115" w:rsidRPr="00B36115" w:rsidRDefault="0080062E" w:rsidP="0080062E">
      <w:pPr>
        <w:ind w:left="-567"/>
        <w:jc w:val="both"/>
      </w:pPr>
      <w:r>
        <w:t>6.</w:t>
      </w:r>
      <w:r>
        <w:tab/>
        <w:t xml:space="preserve">With reference to Fischer’s </w:t>
      </w:r>
      <w:r w:rsidRPr="0080062E">
        <w:rPr>
          <w:i/>
        </w:rPr>
        <w:t xml:space="preserve">William der </w:t>
      </w:r>
      <w:proofErr w:type="spellStart"/>
      <w:r w:rsidRPr="0080062E">
        <w:rPr>
          <w:i/>
        </w:rPr>
        <w:t>Neger</w:t>
      </w:r>
      <w:proofErr w:type="spellEnd"/>
      <w:r>
        <w:t xml:space="preserve"> and </w:t>
      </w:r>
      <w:proofErr w:type="spellStart"/>
      <w:r>
        <w:t>Droste-Hülshoff’s</w:t>
      </w:r>
      <w:proofErr w:type="spellEnd"/>
      <w:r>
        <w:t xml:space="preserve"> </w:t>
      </w:r>
      <w:proofErr w:type="spellStart"/>
      <w:r w:rsidRPr="0080062E">
        <w:rPr>
          <w:i/>
        </w:rPr>
        <w:t>Judenbuche</w:t>
      </w:r>
      <w:proofErr w:type="spellEnd"/>
      <w:r w:rsidRPr="0080062E">
        <w:rPr>
          <w:i/>
        </w:rPr>
        <w:t>,</w:t>
      </w:r>
      <w:r>
        <w:t xml:space="preserve"> discuss the view that female authors seek to overcome rather than reinforce notions of essential human difference.</w:t>
      </w:r>
    </w:p>
    <w:p w:rsidR="00B36115" w:rsidRPr="00B36115" w:rsidRDefault="00B36115" w:rsidP="0080062E">
      <w:pPr>
        <w:ind w:left="-567"/>
        <w:jc w:val="both"/>
      </w:pPr>
    </w:p>
    <w:p w:rsidR="00B36115" w:rsidRDefault="00B36115" w:rsidP="0080062E">
      <w:pPr>
        <w:ind w:left="-567"/>
        <w:jc w:val="both"/>
      </w:pPr>
    </w:p>
    <w:p w:rsidR="00B36115" w:rsidRPr="00B36115" w:rsidRDefault="00B36115" w:rsidP="00B36115"/>
    <w:sectPr w:rsidR="00B36115" w:rsidRPr="00B36115" w:rsidSect="00182CE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C65504"/>
    <w:multiLevelType w:val="hybridMultilevel"/>
    <w:tmpl w:val="7F3CA2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0AF4E49"/>
    <w:multiLevelType w:val="hybridMultilevel"/>
    <w:tmpl w:val="2F147C8A"/>
    <w:lvl w:ilvl="0" w:tplc="7E587B0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79AA51EF"/>
    <w:multiLevelType w:val="hybridMultilevel"/>
    <w:tmpl w:val="FE34A63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6115"/>
    <w:rsid w:val="000B04EE"/>
    <w:rsid w:val="00182CE8"/>
    <w:rsid w:val="0035492C"/>
    <w:rsid w:val="003567F9"/>
    <w:rsid w:val="0080062E"/>
    <w:rsid w:val="00B36115"/>
    <w:rsid w:val="00B436A4"/>
    <w:rsid w:val="00F26F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36115"/>
    <w:rPr>
      <w:sz w:val="16"/>
      <w:szCs w:val="16"/>
    </w:rPr>
  </w:style>
  <w:style w:type="paragraph" w:styleId="CommentText">
    <w:name w:val="annotation text"/>
    <w:basedOn w:val="Normal"/>
    <w:link w:val="CommentTextChar"/>
    <w:uiPriority w:val="99"/>
    <w:semiHidden/>
    <w:unhideWhenUsed/>
    <w:rsid w:val="00B36115"/>
    <w:pPr>
      <w:spacing w:after="0" w:line="240" w:lineRule="auto"/>
    </w:pPr>
    <w:rPr>
      <w:sz w:val="20"/>
      <w:szCs w:val="20"/>
    </w:rPr>
  </w:style>
  <w:style w:type="character" w:customStyle="1" w:styleId="CommentTextChar">
    <w:name w:val="Comment Text Char"/>
    <w:basedOn w:val="DefaultParagraphFont"/>
    <w:link w:val="CommentText"/>
    <w:uiPriority w:val="99"/>
    <w:semiHidden/>
    <w:rsid w:val="00B36115"/>
    <w:rPr>
      <w:rFonts w:eastAsiaTheme="minorEastAsia"/>
      <w:sz w:val="20"/>
      <w:szCs w:val="20"/>
    </w:rPr>
  </w:style>
  <w:style w:type="paragraph" w:styleId="BalloonText">
    <w:name w:val="Balloon Text"/>
    <w:basedOn w:val="Normal"/>
    <w:link w:val="BalloonTextChar"/>
    <w:uiPriority w:val="99"/>
    <w:semiHidden/>
    <w:unhideWhenUsed/>
    <w:rsid w:val="00B3611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36115"/>
    <w:rPr>
      <w:rFonts w:ascii="Tahoma" w:hAnsi="Tahoma" w:cs="Tahoma"/>
      <w:sz w:val="16"/>
      <w:szCs w:val="16"/>
    </w:rPr>
  </w:style>
  <w:style w:type="paragraph" w:styleId="ListParagraph">
    <w:name w:val="List Paragraph"/>
    <w:basedOn w:val="Normal"/>
    <w:uiPriority w:val="34"/>
    <w:qFormat/>
    <w:rsid w:val="00B3611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36115"/>
    <w:rPr>
      <w:sz w:val="16"/>
      <w:szCs w:val="16"/>
    </w:rPr>
  </w:style>
  <w:style w:type="paragraph" w:styleId="CommentText">
    <w:name w:val="annotation text"/>
    <w:basedOn w:val="Normal"/>
    <w:link w:val="CommentTextChar"/>
    <w:uiPriority w:val="99"/>
    <w:semiHidden/>
    <w:unhideWhenUsed/>
    <w:rsid w:val="00B36115"/>
    <w:pPr>
      <w:spacing w:after="0" w:line="240" w:lineRule="auto"/>
    </w:pPr>
    <w:rPr>
      <w:sz w:val="20"/>
      <w:szCs w:val="20"/>
    </w:rPr>
  </w:style>
  <w:style w:type="character" w:customStyle="1" w:styleId="CommentTextChar">
    <w:name w:val="Comment Text Char"/>
    <w:basedOn w:val="DefaultParagraphFont"/>
    <w:link w:val="CommentText"/>
    <w:uiPriority w:val="99"/>
    <w:semiHidden/>
    <w:rsid w:val="00B36115"/>
    <w:rPr>
      <w:rFonts w:eastAsiaTheme="minorEastAsia"/>
      <w:sz w:val="20"/>
      <w:szCs w:val="20"/>
    </w:rPr>
  </w:style>
  <w:style w:type="paragraph" w:styleId="BalloonText">
    <w:name w:val="Balloon Text"/>
    <w:basedOn w:val="Normal"/>
    <w:link w:val="BalloonTextChar"/>
    <w:uiPriority w:val="99"/>
    <w:semiHidden/>
    <w:unhideWhenUsed/>
    <w:rsid w:val="00B3611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36115"/>
    <w:rPr>
      <w:rFonts w:ascii="Tahoma" w:hAnsi="Tahoma" w:cs="Tahoma"/>
      <w:sz w:val="16"/>
      <w:szCs w:val="16"/>
    </w:rPr>
  </w:style>
  <w:style w:type="paragraph" w:styleId="ListParagraph">
    <w:name w:val="List Paragraph"/>
    <w:basedOn w:val="Normal"/>
    <w:uiPriority w:val="34"/>
    <w:qFormat/>
    <w:rsid w:val="00B3611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83540B85</Template>
  <TotalTime>1</TotalTime>
  <Pages>2</Pages>
  <Words>334</Words>
  <Characters>1908</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2238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Musical</dc:creator>
  <cp:lastModifiedBy>Hodkinson, James</cp:lastModifiedBy>
  <cp:revision>3</cp:revision>
  <cp:lastPrinted>2013-11-21T10:41:00Z</cp:lastPrinted>
  <dcterms:created xsi:type="dcterms:W3CDTF">2013-11-21T10:41:00Z</dcterms:created>
  <dcterms:modified xsi:type="dcterms:W3CDTF">2013-11-21T10:42:00Z</dcterms:modified>
</cp:coreProperties>
</file>