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259" w:rsidRDefault="00EF32D7">
      <w:pPr>
        <w:rPr>
          <w:lang w:val="en-GB"/>
        </w:rPr>
      </w:pPr>
      <w:r>
        <w:rPr>
          <w:lang w:val="en-GB"/>
        </w:rPr>
        <w:t>IT</w:t>
      </w:r>
      <w:r w:rsidR="00930259">
        <w:rPr>
          <w:lang w:val="en-GB"/>
        </w:rPr>
        <w:t xml:space="preserve">212 Language Skills, </w:t>
      </w:r>
      <w:r w:rsidR="00560322">
        <w:rPr>
          <w:lang w:val="en-GB"/>
        </w:rPr>
        <w:t>13</w:t>
      </w:r>
      <w:r w:rsidR="0006562C">
        <w:rPr>
          <w:lang w:val="en-GB"/>
        </w:rPr>
        <w:t>-</w:t>
      </w:r>
      <w:r w:rsidR="00691C74">
        <w:rPr>
          <w:lang w:val="en-GB"/>
        </w:rPr>
        <w:t>II</w:t>
      </w:r>
      <w:r w:rsidR="00995D7B">
        <w:rPr>
          <w:lang w:val="en-GB"/>
        </w:rPr>
        <w:t>I</w:t>
      </w:r>
      <w:r w:rsidR="00930259">
        <w:rPr>
          <w:lang w:val="en-GB"/>
        </w:rPr>
        <w:t>-201</w:t>
      </w:r>
      <w:r w:rsidR="0006562C">
        <w:rPr>
          <w:lang w:val="en-GB"/>
        </w:rPr>
        <w:t>7</w:t>
      </w:r>
      <w:r w:rsidR="00CF5533">
        <w:rPr>
          <w:lang w:val="en-GB"/>
        </w:rPr>
        <w:t xml:space="preserve"> (T. 2, Week </w:t>
      </w:r>
      <w:r w:rsidR="00560322">
        <w:rPr>
          <w:lang w:val="en-GB"/>
        </w:rPr>
        <w:t>10</w:t>
      </w:r>
      <w:r w:rsidR="00CF5533">
        <w:rPr>
          <w:lang w:val="en-GB"/>
        </w:rPr>
        <w:t>)</w:t>
      </w:r>
    </w:p>
    <w:p w:rsidR="006A7FD4" w:rsidRDefault="006A7FD4">
      <w:pPr>
        <w:rPr>
          <w:u w:val="single"/>
          <w:lang w:val="en-GB"/>
        </w:rPr>
      </w:pPr>
    </w:p>
    <w:p w:rsidR="00560322" w:rsidRDefault="00560322">
      <w:pPr>
        <w:rPr>
          <w:u w:val="single"/>
          <w:lang w:val="en-GB"/>
        </w:rPr>
      </w:pPr>
      <w:r>
        <w:rPr>
          <w:u w:val="single"/>
          <w:lang w:val="en-GB"/>
        </w:rPr>
        <w:t>Review of forms of passive</w:t>
      </w:r>
    </w:p>
    <w:p w:rsidR="00560322" w:rsidRDefault="00560322">
      <w:pPr>
        <w:rPr>
          <w:u w:val="single"/>
          <w:lang w:val="en-GB"/>
        </w:rPr>
      </w:pPr>
    </w:p>
    <w:p w:rsidR="00CF5533" w:rsidRPr="00560322" w:rsidRDefault="00560322">
      <w:pPr>
        <w:rPr>
          <w:lang w:val="en-GB"/>
        </w:rPr>
      </w:pPr>
      <w:r>
        <w:rPr>
          <w:i/>
          <w:u w:val="single"/>
          <w:lang w:val="en-GB"/>
        </w:rPr>
        <w:t>Si passivante</w:t>
      </w:r>
      <w:r>
        <w:rPr>
          <w:u w:val="single"/>
          <w:lang w:val="en-GB"/>
        </w:rPr>
        <w:t xml:space="preserve"> (passive using </w:t>
      </w:r>
      <w:r>
        <w:rPr>
          <w:i/>
          <w:u w:val="single"/>
          <w:lang w:val="en-GB"/>
        </w:rPr>
        <w:t>si</w:t>
      </w:r>
      <w:r>
        <w:rPr>
          <w:u w:val="single"/>
          <w:lang w:val="en-GB"/>
        </w:rPr>
        <w:t xml:space="preserve"> form</w:t>
      </w:r>
      <w:r>
        <w:rPr>
          <w:lang w:val="en-GB"/>
        </w:rPr>
        <w:t>) Reference: Nocchi, ch. 29, p. 198</w:t>
      </w:r>
    </w:p>
    <w:p w:rsidR="00CF5533" w:rsidRDefault="00CF5533">
      <w:pPr>
        <w:rPr>
          <w:i/>
          <w:lang w:val="en-GB"/>
        </w:rPr>
      </w:pPr>
    </w:p>
    <w:p w:rsidR="00560322" w:rsidRDefault="00560322" w:rsidP="00560322">
      <w:pPr>
        <w:spacing w:line="360" w:lineRule="auto"/>
        <w:rPr>
          <w:lang w:val="en-GB"/>
        </w:rPr>
      </w:pPr>
      <w:r>
        <w:rPr>
          <w:lang w:val="en-GB"/>
        </w:rPr>
        <w:t xml:space="preserve">In Italia </w:t>
      </w:r>
      <w:r w:rsidRPr="00560322">
        <w:rPr>
          <w:highlight w:val="yellow"/>
          <w:lang w:val="en-GB"/>
        </w:rPr>
        <w:t>si mangia</w:t>
      </w:r>
      <w:r>
        <w:rPr>
          <w:lang w:val="en-GB"/>
        </w:rPr>
        <w:t xml:space="preserve"> la pasta, ma </w:t>
      </w:r>
      <w:r w:rsidRPr="00560322">
        <w:rPr>
          <w:highlight w:val="yellow"/>
          <w:lang w:val="en-GB"/>
        </w:rPr>
        <w:t>si mangiano</w:t>
      </w:r>
      <w:r>
        <w:rPr>
          <w:lang w:val="en-GB"/>
        </w:rPr>
        <w:t xml:space="preserve"> tanti tipi di pasta. A Bologna </w:t>
      </w:r>
      <w:r w:rsidRPr="00560322">
        <w:rPr>
          <w:highlight w:val="yellow"/>
          <w:lang w:val="en-GB"/>
        </w:rPr>
        <w:t>si mangiano</w:t>
      </w:r>
      <w:r>
        <w:rPr>
          <w:lang w:val="en-GB"/>
        </w:rPr>
        <w:t xml:space="preserve"> le lasagne. A Roma </w:t>
      </w:r>
      <w:r w:rsidRPr="00560322">
        <w:rPr>
          <w:highlight w:val="yellow"/>
          <w:lang w:val="en-GB"/>
        </w:rPr>
        <w:t>si mangiano</w:t>
      </w:r>
      <w:r>
        <w:rPr>
          <w:lang w:val="en-GB"/>
        </w:rPr>
        <w:t xml:space="preserve"> gli spaghetti alla carbonara. In Puglia </w:t>
      </w:r>
      <w:r w:rsidRPr="00560322">
        <w:rPr>
          <w:highlight w:val="yellow"/>
          <w:lang w:val="en-GB"/>
        </w:rPr>
        <w:t>si mangiano</w:t>
      </w:r>
      <w:r>
        <w:rPr>
          <w:lang w:val="en-GB"/>
        </w:rPr>
        <w:t xml:space="preserve"> le orecchiette. Tuttavia anche tanti altri piatti sono amati dagli italiani. A Milano </w:t>
      </w:r>
      <w:r w:rsidRPr="00560322">
        <w:rPr>
          <w:highlight w:val="yellow"/>
          <w:lang w:val="en-GB"/>
        </w:rPr>
        <w:t>si mangia</w:t>
      </w:r>
      <w:r>
        <w:rPr>
          <w:lang w:val="en-GB"/>
        </w:rPr>
        <w:t xml:space="preserve"> il risotto. A Catania </w:t>
      </w:r>
      <w:r w:rsidRPr="00560322">
        <w:rPr>
          <w:highlight w:val="yellow"/>
          <w:lang w:val="en-GB"/>
        </w:rPr>
        <w:t>si mangia</w:t>
      </w:r>
      <w:r>
        <w:rPr>
          <w:lang w:val="en-GB"/>
        </w:rPr>
        <w:t xml:space="preserve"> la caponata. Naturalmente, a Napoli </w:t>
      </w:r>
      <w:r w:rsidRPr="00560322">
        <w:rPr>
          <w:highlight w:val="yellow"/>
          <w:lang w:val="en-GB"/>
        </w:rPr>
        <w:t>si mangia</w:t>
      </w:r>
      <w:r>
        <w:rPr>
          <w:lang w:val="en-GB"/>
        </w:rPr>
        <w:t xml:space="preserve"> la pizza, che però </w:t>
      </w:r>
      <w:r w:rsidRPr="00560322">
        <w:rPr>
          <w:highlight w:val="yellow"/>
          <w:lang w:val="en-GB"/>
        </w:rPr>
        <w:t>si mangia</w:t>
      </w:r>
      <w:r>
        <w:rPr>
          <w:lang w:val="en-GB"/>
        </w:rPr>
        <w:t xml:space="preserve"> anche in tanti altri posti d’Italia e del mondo. </w:t>
      </w:r>
    </w:p>
    <w:p w:rsidR="00560322" w:rsidRDefault="00560322" w:rsidP="00560322">
      <w:pPr>
        <w:spacing w:line="360" w:lineRule="auto"/>
        <w:rPr>
          <w:lang w:val="en-GB"/>
        </w:rPr>
      </w:pPr>
    </w:p>
    <w:p w:rsidR="00560322" w:rsidRPr="00560322" w:rsidRDefault="00560322" w:rsidP="00560322">
      <w:pPr>
        <w:spacing w:line="360" w:lineRule="auto"/>
        <w:rPr>
          <w:lang w:val="en-GB"/>
        </w:rPr>
      </w:pPr>
      <w:r w:rsidRPr="00404455">
        <w:rPr>
          <w:b/>
          <w:lang w:val="en-GB"/>
        </w:rPr>
        <w:t>Exercise</w:t>
      </w:r>
      <w:r>
        <w:rPr>
          <w:lang w:val="en-GB"/>
        </w:rPr>
        <w:t>: take the forms above and transform them into the imperfect, passato prossimo, passato remoto, and future.</w:t>
      </w:r>
    </w:p>
    <w:p w:rsidR="00560322" w:rsidRDefault="00560322" w:rsidP="00560322">
      <w:pPr>
        <w:rPr>
          <w:lang w:val="en-GB"/>
        </w:rPr>
      </w:pPr>
    </w:p>
    <w:p w:rsidR="00404455" w:rsidRDefault="00404455" w:rsidP="00560322">
      <w:pPr>
        <w:rPr>
          <w:lang w:val="en-GB"/>
        </w:rPr>
      </w:pPr>
      <w:r w:rsidRPr="00404455">
        <w:rPr>
          <w:b/>
          <w:lang w:val="en-GB"/>
        </w:rPr>
        <w:t>Note</w:t>
      </w:r>
      <w:r>
        <w:rPr>
          <w:lang w:val="en-GB"/>
        </w:rPr>
        <w:t xml:space="preserve">: the </w:t>
      </w:r>
      <w:r>
        <w:rPr>
          <w:i/>
          <w:lang w:val="en-GB"/>
        </w:rPr>
        <w:t>si passivante</w:t>
      </w:r>
      <w:r>
        <w:rPr>
          <w:lang w:val="en-GB"/>
        </w:rPr>
        <w:t xml:space="preserve"> can be used in all tenses of the third person, whether singular or plural. It cannot be used:</w:t>
      </w:r>
    </w:p>
    <w:p w:rsidR="00404455" w:rsidRDefault="00404455" w:rsidP="00560322">
      <w:pPr>
        <w:rPr>
          <w:lang w:val="en-GB"/>
        </w:rPr>
      </w:pPr>
      <w:r>
        <w:rPr>
          <w:lang w:val="en-GB"/>
        </w:rPr>
        <w:t>• with other persons (the passive of ‘Tu mangi la pasta’ cannot be done using this form)</w:t>
      </w:r>
    </w:p>
    <w:p w:rsidR="003F32F4" w:rsidRDefault="00404455" w:rsidP="00560322">
      <w:pPr>
        <w:rPr>
          <w:lang w:val="en-GB"/>
        </w:rPr>
      </w:pPr>
      <w:r>
        <w:rPr>
          <w:lang w:val="en-GB"/>
        </w:rPr>
        <w:t>• when the agent is expressed (you cannot say ‘La pasta si mangia da Giacomo</w:t>
      </w:r>
      <w:r w:rsidR="003F32F4">
        <w:rPr>
          <w:lang w:val="en-GB"/>
        </w:rPr>
        <w:t>’)</w:t>
      </w:r>
    </w:p>
    <w:p w:rsidR="003F32F4" w:rsidRDefault="003F32F4" w:rsidP="00560322">
      <w:pPr>
        <w:rPr>
          <w:lang w:val="en-GB"/>
        </w:rPr>
      </w:pPr>
    </w:p>
    <w:p w:rsidR="00560322" w:rsidRPr="003F32F4" w:rsidRDefault="003F32F4" w:rsidP="00560322">
      <w:pPr>
        <w:rPr>
          <w:lang w:val="en-GB"/>
        </w:rPr>
      </w:pPr>
      <w:r>
        <w:rPr>
          <w:b/>
          <w:lang w:val="en-GB"/>
        </w:rPr>
        <w:t>Exercise:</w:t>
      </w:r>
      <w:r>
        <w:rPr>
          <w:lang w:val="en-GB"/>
        </w:rPr>
        <w:t xml:space="preserve"> Nocchi, p. 199, no. 1.</w:t>
      </w:r>
    </w:p>
    <w:p w:rsidR="00995D7B" w:rsidRDefault="00995D7B">
      <w:pPr>
        <w:rPr>
          <w:lang w:val="en-GB"/>
        </w:rPr>
      </w:pPr>
    </w:p>
    <w:p w:rsidR="00EF32D7" w:rsidRPr="00995D7B" w:rsidRDefault="00EF32D7">
      <w:pPr>
        <w:rPr>
          <w:lang w:val="en-GB"/>
        </w:rPr>
      </w:pPr>
    </w:p>
    <w:p w:rsidR="002E3097" w:rsidRDefault="003F32F4">
      <w:pPr>
        <w:rPr>
          <w:lang w:val="en-GB"/>
        </w:rPr>
      </w:pPr>
      <w:r>
        <w:rPr>
          <w:u w:val="single"/>
          <w:lang w:val="en-GB"/>
        </w:rPr>
        <w:t xml:space="preserve">In addition to </w:t>
      </w:r>
      <w:r>
        <w:rPr>
          <w:i/>
          <w:u w:val="single"/>
          <w:lang w:val="en-GB"/>
        </w:rPr>
        <w:t>venire</w:t>
      </w:r>
      <w:r>
        <w:rPr>
          <w:u w:val="single"/>
          <w:lang w:val="en-GB"/>
        </w:rPr>
        <w:t xml:space="preserve">, the passive can use </w:t>
      </w:r>
      <w:r>
        <w:rPr>
          <w:i/>
          <w:u w:val="single"/>
          <w:lang w:val="en-GB"/>
        </w:rPr>
        <w:t>andare</w:t>
      </w:r>
      <w:r>
        <w:rPr>
          <w:u w:val="single"/>
          <w:lang w:val="en-GB"/>
        </w:rPr>
        <w:t>, but then has a different meaning</w:t>
      </w:r>
      <w:r w:rsidR="00995D7B">
        <w:rPr>
          <w:lang w:val="en-GB"/>
        </w:rPr>
        <w:t xml:space="preserve"> (see </w:t>
      </w:r>
      <w:r>
        <w:rPr>
          <w:lang w:val="en-GB"/>
        </w:rPr>
        <w:t>Nocchi, p. 200</w:t>
      </w:r>
      <w:r w:rsidR="00995D7B">
        <w:rPr>
          <w:lang w:val="en-GB"/>
        </w:rPr>
        <w:t>)</w:t>
      </w:r>
    </w:p>
    <w:p w:rsidR="002E3097" w:rsidRDefault="002E3097">
      <w:pPr>
        <w:rPr>
          <w:lang w:val="en-GB"/>
        </w:rPr>
      </w:pPr>
    </w:p>
    <w:p w:rsidR="003F32F4" w:rsidRDefault="003F32F4">
      <w:pPr>
        <w:rPr>
          <w:lang w:val="en-GB"/>
        </w:rPr>
      </w:pPr>
      <w:r>
        <w:rPr>
          <w:lang w:val="en-GB"/>
        </w:rPr>
        <w:t>In this case, the passive has more of the meaning ‘ought to be’. The following are basic rules:</w:t>
      </w:r>
    </w:p>
    <w:p w:rsidR="003F32F4" w:rsidRDefault="003F32F4">
      <w:pPr>
        <w:rPr>
          <w:lang w:val="en-GB"/>
        </w:rPr>
      </w:pPr>
      <w:r>
        <w:rPr>
          <w:lang w:val="en-GB"/>
        </w:rPr>
        <w:t xml:space="preserve">• the verb matches the number of the subject: </w:t>
      </w:r>
      <w:r>
        <w:rPr>
          <w:i/>
          <w:lang w:val="en-GB"/>
        </w:rPr>
        <w:t>Questo libro va letto / Questi libri vanno letti</w:t>
      </w:r>
    </w:p>
    <w:p w:rsidR="003F32F4" w:rsidRDefault="003F32F4">
      <w:pPr>
        <w:rPr>
          <w:lang w:val="en-GB"/>
        </w:rPr>
      </w:pPr>
      <w:r>
        <w:rPr>
          <w:lang w:val="en-GB"/>
        </w:rPr>
        <w:t>• this form can be used in several tenses, but only simple ones:</w:t>
      </w:r>
    </w:p>
    <w:p w:rsidR="003F32F4" w:rsidRPr="003F32F4" w:rsidRDefault="003F32F4" w:rsidP="003F32F4">
      <w:pPr>
        <w:pStyle w:val="ListParagraph"/>
        <w:numPr>
          <w:ilvl w:val="0"/>
          <w:numId w:val="1"/>
        </w:numPr>
        <w:rPr>
          <w:i/>
          <w:lang w:val="en-GB"/>
        </w:rPr>
      </w:pPr>
      <w:r w:rsidRPr="003F32F4">
        <w:rPr>
          <w:i/>
          <w:lang w:val="en-GB"/>
        </w:rPr>
        <w:t xml:space="preserve">Questo </w:t>
      </w:r>
      <w:r>
        <w:rPr>
          <w:i/>
          <w:lang w:val="en-GB"/>
        </w:rPr>
        <w:t>esercizio</w:t>
      </w:r>
      <w:r w:rsidRPr="003F32F4">
        <w:rPr>
          <w:i/>
          <w:lang w:val="en-GB"/>
        </w:rPr>
        <w:t xml:space="preserve"> va </w:t>
      </w:r>
      <w:r>
        <w:rPr>
          <w:i/>
          <w:lang w:val="en-GB"/>
        </w:rPr>
        <w:t>fatto</w:t>
      </w:r>
    </w:p>
    <w:p w:rsidR="003F32F4" w:rsidRDefault="003F32F4" w:rsidP="003F32F4">
      <w:pPr>
        <w:pStyle w:val="ListParagraph"/>
        <w:numPr>
          <w:ilvl w:val="0"/>
          <w:numId w:val="1"/>
        </w:numPr>
        <w:rPr>
          <w:i/>
          <w:lang w:val="en-GB"/>
        </w:rPr>
      </w:pPr>
      <w:r>
        <w:rPr>
          <w:i/>
          <w:lang w:val="en-GB"/>
        </w:rPr>
        <w:t>Questi esercizi andavano fatti</w:t>
      </w:r>
    </w:p>
    <w:p w:rsidR="003F32F4" w:rsidRDefault="003F32F4" w:rsidP="003F32F4">
      <w:pPr>
        <w:pStyle w:val="ListParagraph"/>
        <w:numPr>
          <w:ilvl w:val="0"/>
          <w:numId w:val="1"/>
        </w:numPr>
        <w:rPr>
          <w:i/>
          <w:lang w:val="en-GB"/>
        </w:rPr>
      </w:pPr>
      <w:r>
        <w:rPr>
          <w:i/>
          <w:lang w:val="en-GB"/>
        </w:rPr>
        <w:t>Questo esercizio andrebbe fatto</w:t>
      </w:r>
    </w:p>
    <w:p w:rsidR="003F32F4" w:rsidRDefault="003F32F4" w:rsidP="003F32F4">
      <w:pPr>
        <w:rPr>
          <w:lang w:val="en-GB"/>
        </w:rPr>
      </w:pPr>
      <w:r>
        <w:rPr>
          <w:lang w:val="en-GB"/>
        </w:rPr>
        <w:t>• the agent may or may not be expressed:</w:t>
      </w:r>
    </w:p>
    <w:p w:rsidR="0073132E" w:rsidRPr="0073132E" w:rsidRDefault="0073132E" w:rsidP="0073132E">
      <w:pPr>
        <w:pStyle w:val="ListParagraph"/>
        <w:numPr>
          <w:ilvl w:val="0"/>
          <w:numId w:val="1"/>
        </w:numPr>
        <w:rPr>
          <w:i/>
          <w:lang w:val="en-GB"/>
        </w:rPr>
      </w:pPr>
      <w:r w:rsidRPr="0073132E">
        <w:rPr>
          <w:i/>
          <w:lang w:val="en-GB"/>
        </w:rPr>
        <w:t>Questo esercizio va fatto da tutti</w:t>
      </w:r>
    </w:p>
    <w:p w:rsidR="0073132E" w:rsidRDefault="0073132E" w:rsidP="0073132E">
      <w:pPr>
        <w:pStyle w:val="ListParagraph"/>
        <w:numPr>
          <w:ilvl w:val="0"/>
          <w:numId w:val="1"/>
        </w:numPr>
        <w:rPr>
          <w:i/>
          <w:lang w:val="en-GB"/>
        </w:rPr>
      </w:pPr>
      <w:r>
        <w:rPr>
          <w:i/>
          <w:lang w:val="en-GB"/>
        </w:rPr>
        <w:t>Questi esercizi andranno fatti da Luca</w:t>
      </w:r>
    </w:p>
    <w:p w:rsidR="0073132E" w:rsidRDefault="0073132E" w:rsidP="0073132E">
      <w:pPr>
        <w:rPr>
          <w:lang w:val="en-GB"/>
        </w:rPr>
      </w:pPr>
      <w:r>
        <w:rPr>
          <w:lang w:val="en-GB"/>
        </w:rPr>
        <w:t xml:space="preserve">• the active form can be stated with a conditional or with another form of </w:t>
      </w:r>
      <w:r w:rsidRPr="0073132E">
        <w:rPr>
          <w:i/>
          <w:lang w:val="en-GB"/>
        </w:rPr>
        <w:t>dovere</w:t>
      </w:r>
      <w:r>
        <w:rPr>
          <w:lang w:val="en-GB"/>
        </w:rPr>
        <w:t>:</w:t>
      </w:r>
    </w:p>
    <w:p w:rsidR="0073132E" w:rsidRPr="0073132E" w:rsidRDefault="0073132E" w:rsidP="0073132E">
      <w:pPr>
        <w:pStyle w:val="ListParagraph"/>
        <w:numPr>
          <w:ilvl w:val="0"/>
          <w:numId w:val="1"/>
        </w:numPr>
        <w:rPr>
          <w:i/>
          <w:lang w:val="en-GB"/>
        </w:rPr>
      </w:pPr>
      <w:r w:rsidRPr="0073132E">
        <w:rPr>
          <w:i/>
          <w:lang w:val="en-GB"/>
        </w:rPr>
        <w:t>Tutti dovrebbero fare questo esercizio</w:t>
      </w:r>
      <w:r>
        <w:rPr>
          <w:i/>
          <w:lang w:val="en-GB"/>
        </w:rPr>
        <w:t xml:space="preserve"> / Si deve fare questo esercizio</w:t>
      </w:r>
    </w:p>
    <w:p w:rsidR="002E3097" w:rsidRPr="0073132E" w:rsidRDefault="0073132E" w:rsidP="0073132E">
      <w:pPr>
        <w:pStyle w:val="ListParagraph"/>
        <w:numPr>
          <w:ilvl w:val="0"/>
          <w:numId w:val="1"/>
        </w:numPr>
        <w:rPr>
          <w:i/>
          <w:lang w:val="en-GB"/>
        </w:rPr>
      </w:pPr>
      <w:r>
        <w:rPr>
          <w:i/>
          <w:lang w:val="en-GB"/>
        </w:rPr>
        <w:t>Luca deve/dovrebbe fare questi esercizi</w:t>
      </w:r>
    </w:p>
    <w:p w:rsidR="002E3097" w:rsidRDefault="002E3097">
      <w:pPr>
        <w:rPr>
          <w:lang w:val="en-GB"/>
        </w:rPr>
      </w:pPr>
    </w:p>
    <w:p w:rsidR="00A92914" w:rsidRPr="0073132E" w:rsidRDefault="0073132E">
      <w:pPr>
        <w:rPr>
          <w:lang w:val="en-GB"/>
        </w:rPr>
      </w:pPr>
      <w:r>
        <w:rPr>
          <w:b/>
          <w:lang w:val="en-GB"/>
        </w:rPr>
        <w:t>Exercises</w:t>
      </w:r>
      <w:r>
        <w:rPr>
          <w:lang w:val="en-GB"/>
        </w:rPr>
        <w:t>: Nocchi, p. 201, nos. 1-2.</w:t>
      </w:r>
    </w:p>
    <w:p w:rsidR="00A92914" w:rsidRDefault="00A92914">
      <w:pPr>
        <w:rPr>
          <w:lang w:val="en-GB"/>
        </w:rPr>
      </w:pPr>
    </w:p>
    <w:p w:rsidR="00930259" w:rsidRPr="005C5E93" w:rsidRDefault="00930259" w:rsidP="003D66B8">
      <w:pPr>
        <w:rPr>
          <w:u w:val="single"/>
          <w:lang w:val="en-GB"/>
        </w:rPr>
      </w:pPr>
    </w:p>
    <w:sectPr w:rsidR="00930259" w:rsidRPr="005C5E93" w:rsidSect="00191C8F">
      <w:pgSz w:w="11900" w:h="16840"/>
      <w:pgMar w:top="1021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37D3"/>
    <w:multiLevelType w:val="hybridMultilevel"/>
    <w:tmpl w:val="CFEE7F00"/>
    <w:lvl w:ilvl="0" w:tplc="846A47AA">
      <w:numFmt w:val="bullet"/>
      <w:lvlText w:val="-"/>
      <w:lvlJc w:val="left"/>
      <w:pPr>
        <w:ind w:left="1080" w:hanging="360"/>
      </w:pPr>
      <w:rPr>
        <w:rFonts w:ascii="Times" w:eastAsiaTheme="minorHAnsi" w:hAnsi="Times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doNotTrackMoves/>
  <w:defaultTabStop w:val="72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930259"/>
    <w:rsid w:val="0006562C"/>
    <w:rsid w:val="00072C44"/>
    <w:rsid w:val="00191C8F"/>
    <w:rsid w:val="001C1518"/>
    <w:rsid w:val="002E1CE0"/>
    <w:rsid w:val="002E1F8C"/>
    <w:rsid w:val="002E3097"/>
    <w:rsid w:val="00374485"/>
    <w:rsid w:val="00386523"/>
    <w:rsid w:val="003D66B8"/>
    <w:rsid w:val="003E72C9"/>
    <w:rsid w:val="003F32F4"/>
    <w:rsid w:val="00404455"/>
    <w:rsid w:val="0044138A"/>
    <w:rsid w:val="0044221A"/>
    <w:rsid w:val="0049439E"/>
    <w:rsid w:val="005425B2"/>
    <w:rsid w:val="00560322"/>
    <w:rsid w:val="005C5E93"/>
    <w:rsid w:val="005E7A23"/>
    <w:rsid w:val="00691C74"/>
    <w:rsid w:val="006A7FD4"/>
    <w:rsid w:val="0073132E"/>
    <w:rsid w:val="007663BF"/>
    <w:rsid w:val="00766A85"/>
    <w:rsid w:val="007D755A"/>
    <w:rsid w:val="008076E5"/>
    <w:rsid w:val="00845ED7"/>
    <w:rsid w:val="008A75FE"/>
    <w:rsid w:val="00930259"/>
    <w:rsid w:val="009947FC"/>
    <w:rsid w:val="00995D7B"/>
    <w:rsid w:val="009D7177"/>
    <w:rsid w:val="00A230AC"/>
    <w:rsid w:val="00A275E8"/>
    <w:rsid w:val="00A73C43"/>
    <w:rsid w:val="00A90ECF"/>
    <w:rsid w:val="00A92914"/>
    <w:rsid w:val="00C3085B"/>
    <w:rsid w:val="00C6069A"/>
    <w:rsid w:val="00C96095"/>
    <w:rsid w:val="00CB4382"/>
    <w:rsid w:val="00CF5533"/>
    <w:rsid w:val="00D027B6"/>
    <w:rsid w:val="00D26DEC"/>
    <w:rsid w:val="00D57044"/>
    <w:rsid w:val="00D80138"/>
    <w:rsid w:val="00DA1399"/>
    <w:rsid w:val="00E90AD3"/>
    <w:rsid w:val="00EF32D7"/>
    <w:rsid w:val="00F57AC7"/>
    <w:rsid w:val="00F80EE1"/>
    <w:rsid w:val="00F9176C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A64"/>
    <w:pPr>
      <w:spacing w:line="312" w:lineRule="auto"/>
    </w:pPr>
    <w:rPr>
      <w:rFonts w:ascii="Times" w:hAnsi="Times"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F0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F01"/>
    <w:rPr>
      <w:rFonts w:ascii="Lucida Grande" w:hAnsi="Lucida Grande"/>
      <w:sz w:val="18"/>
      <w:szCs w:val="18"/>
    </w:rPr>
  </w:style>
  <w:style w:type="paragraph" w:customStyle="1" w:styleId="heading1">
    <w:name w:val="heading1"/>
    <w:basedOn w:val="Normal"/>
    <w:autoRedefine/>
    <w:qFormat/>
    <w:rsid w:val="008625EA"/>
    <w:pPr>
      <w:widowControl w:val="0"/>
      <w:suppressAutoHyphens/>
      <w:spacing w:after="240"/>
      <w:jc w:val="center"/>
    </w:pPr>
    <w:rPr>
      <w:rFonts w:ascii="Apple Chancery" w:eastAsia="Arial" w:hAnsi="Apple Chancery" w:cs="Times New Roman"/>
      <w:color w:val="7E0021"/>
      <w:kern w:val="36"/>
      <w:sz w:val="36"/>
      <w:szCs w:val="36"/>
      <w:lang w:val="en-GB"/>
    </w:rPr>
  </w:style>
  <w:style w:type="paragraph" w:customStyle="1" w:styleId="Page2">
    <w:name w:val="Page2"/>
    <w:basedOn w:val="Normal"/>
    <w:autoRedefine/>
    <w:qFormat/>
    <w:rsid w:val="008625EA"/>
    <w:pPr>
      <w:widowControl w:val="0"/>
      <w:suppressAutoHyphens/>
      <w:spacing w:after="120"/>
    </w:pPr>
    <w:rPr>
      <w:rFonts w:ascii="Book Antiqua" w:eastAsia="Arial" w:hAnsi="Book Antiqua" w:cs="Times New Roman"/>
      <w:kern w:val="1"/>
      <w:lang w:val="en-GB"/>
    </w:rPr>
  </w:style>
  <w:style w:type="paragraph" w:customStyle="1" w:styleId="Bibliog">
    <w:name w:val="Bibliog"/>
    <w:basedOn w:val="Normal"/>
    <w:autoRedefine/>
    <w:qFormat/>
    <w:rsid w:val="00643C81"/>
    <w:pPr>
      <w:spacing w:line="480" w:lineRule="auto"/>
      <w:ind w:left="720" w:hanging="720"/>
    </w:pPr>
    <w:rPr>
      <w:rFonts w:ascii="Times New Roman" w:eastAsia="Times" w:hAnsi="Times New Roman" w:cs="Times New Roman"/>
      <w:u w:val="single"/>
    </w:rPr>
  </w:style>
  <w:style w:type="paragraph" w:styleId="FootnoteText">
    <w:name w:val="footnote text"/>
    <w:aliases w:val="Schriftart: 9 pt,Schriftart: 10 pt,Schriftart: 8 pt,WB-Fußnotentext,fn,footnote text,Footnotes,Footnote ak,FoodNote,ft,Footnote text,Footnote,Footnote Text Char1 Char Char,Footnote Text Char1 Char,Reference,Fußnote,f"/>
    <w:basedOn w:val="Normal"/>
    <w:link w:val="FootnoteTextChar"/>
    <w:autoRedefine/>
    <w:rsid w:val="002E1A84"/>
    <w:pPr>
      <w:spacing w:line="240" w:lineRule="auto"/>
      <w:jc w:val="both"/>
    </w:pPr>
    <w:rPr>
      <w:rFonts w:eastAsiaTheme="minorEastAsia"/>
      <w:sz w:val="18"/>
      <w:lang w:val="en-GB" w:eastAsia="en-GB"/>
    </w:rPr>
  </w:style>
  <w:style w:type="character" w:customStyle="1" w:styleId="FootnoteTextChar">
    <w:name w:val="Footnote Text Char"/>
    <w:aliases w:val="Schriftart: 9 pt Char1,Schriftart: 10 pt Char1,Schriftart: 8 pt Char1,WB-Fußnotentext Char1,fn Char1,footnote text Char1,Footnotes Char1,Footnote ak Char1,FoodNote Char1,ft Char1,Footnote text Char1,Footnote Char1,Reference Char"/>
    <w:basedOn w:val="DefaultParagraphFont"/>
    <w:link w:val="FootnoteText"/>
    <w:rsid w:val="002E1A84"/>
    <w:rPr>
      <w:rFonts w:ascii="Times" w:eastAsiaTheme="minorEastAsia" w:hAnsi="Times"/>
      <w:sz w:val="18"/>
      <w:lang w:val="en-GB" w:eastAsia="en-GB"/>
    </w:rPr>
  </w:style>
  <w:style w:type="character" w:customStyle="1" w:styleId="FootnoteTextChar1">
    <w:name w:val="Footnote Text Char1"/>
    <w:aliases w:val="Schriftart: 9 pt Char,Schriftart: 10 pt Char,Schriftart: 8 pt Char,WB-Fußnotentext Char,fn Char,footnote text Char,Footnotes Char,Footnote ak Char,FoodNote Char,ft Char,Footnote text Char,Footnote Char,Footnote Text Char1 Char Char1"/>
    <w:locked/>
    <w:rsid w:val="002E1A84"/>
    <w:rPr>
      <w:rFonts w:ascii="Times" w:hAnsi="Times"/>
      <w:sz w:val="18"/>
      <w:lang w:eastAsia="en-GB"/>
    </w:rPr>
  </w:style>
  <w:style w:type="paragraph" w:customStyle="1" w:styleId="Style1">
    <w:name w:val="Style1"/>
    <w:basedOn w:val="Normal"/>
    <w:autoRedefine/>
    <w:qFormat/>
    <w:rsid w:val="002E1A84"/>
    <w:pPr>
      <w:spacing w:before="80" w:after="120" w:line="240" w:lineRule="auto"/>
    </w:pPr>
    <w:rPr>
      <w:rFonts w:eastAsia="Times New Roman" w:cs="Arial"/>
      <w:b/>
      <w:szCs w:val="22"/>
      <w:u w:val="single"/>
      <w:lang w:val="en-GB" w:eastAsia="en-GB"/>
    </w:rPr>
  </w:style>
  <w:style w:type="paragraph" w:styleId="ListParagraph">
    <w:name w:val="List Paragraph"/>
    <w:basedOn w:val="Normal"/>
    <w:uiPriority w:val="34"/>
    <w:qFormat/>
    <w:rsid w:val="003F32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262</Words>
  <Characters>1498</Characters>
  <Application>Microsoft Macintosh Word</Application>
  <DocSecurity>0</DocSecurity>
  <Lines>12</Lines>
  <Paragraphs>2</Paragraphs>
  <ScaleCrop>false</ScaleCrop>
  <Company>University of Warwick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David Lines</cp:lastModifiedBy>
  <cp:revision>24</cp:revision>
  <cp:lastPrinted>2017-03-08T09:04:00Z</cp:lastPrinted>
  <dcterms:created xsi:type="dcterms:W3CDTF">2016-10-17T11:16:00Z</dcterms:created>
  <dcterms:modified xsi:type="dcterms:W3CDTF">2017-03-13T11:41:00Z</dcterms:modified>
</cp:coreProperties>
</file>