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BD1" w:rsidRDefault="00541BD1" w:rsidP="0092452C">
      <w:pPr>
        <w:pStyle w:val="Heading2"/>
        <w:spacing w:line="240" w:lineRule="auto"/>
        <w:jc w:val="both"/>
        <w:rPr>
          <w:i/>
          <w:sz w:val="40"/>
          <w:lang w:val="fr-FR"/>
        </w:rPr>
      </w:pPr>
    </w:p>
    <w:p w:rsidR="00541BD1" w:rsidRPr="00900776" w:rsidRDefault="00900776" w:rsidP="0092452C">
      <w:pPr>
        <w:pStyle w:val="Heading2"/>
        <w:spacing w:line="240" w:lineRule="auto"/>
        <w:jc w:val="center"/>
        <w:rPr>
          <w:rFonts w:ascii="Times New Roman" w:hAnsi="Times New Roman" w:cs="Times New Roman"/>
          <w:sz w:val="32"/>
        </w:rPr>
      </w:pPr>
      <w:r w:rsidRPr="00900776">
        <w:rPr>
          <w:rFonts w:ascii="Times New Roman" w:hAnsi="Times New Roman" w:cs="Times New Roman"/>
          <w:sz w:val="32"/>
        </w:rPr>
        <w:t>Student ID</w:t>
      </w:r>
      <w:r w:rsidR="00541BD1" w:rsidRPr="00900776">
        <w:rPr>
          <w:rFonts w:ascii="Times New Roman" w:hAnsi="Times New Roman" w:cs="Times New Roman"/>
          <w:sz w:val="32"/>
        </w:rPr>
        <w:t>: 0707561</w:t>
      </w:r>
    </w:p>
    <w:p w:rsidR="008D18D2" w:rsidRPr="008D18D2" w:rsidRDefault="008D18D2" w:rsidP="0092452C">
      <w:pPr>
        <w:jc w:val="center"/>
      </w:pPr>
    </w:p>
    <w:p w:rsidR="008D18D2" w:rsidRPr="008D18D2" w:rsidRDefault="008D18D2" w:rsidP="0092452C">
      <w:pPr>
        <w:jc w:val="center"/>
        <w:rPr>
          <w:b/>
          <w:sz w:val="32"/>
          <w:szCs w:val="36"/>
        </w:rPr>
      </w:pPr>
      <w:r w:rsidRPr="008D18D2">
        <w:rPr>
          <w:b/>
          <w:sz w:val="32"/>
          <w:szCs w:val="36"/>
        </w:rPr>
        <w:t>FR322: Revolution and Empire</w:t>
      </w:r>
    </w:p>
    <w:p w:rsidR="00541BD1" w:rsidRPr="008D18D2" w:rsidRDefault="00541BD1" w:rsidP="0092452C">
      <w:pPr>
        <w:jc w:val="center"/>
      </w:pPr>
    </w:p>
    <w:p w:rsidR="00541BD1" w:rsidRDefault="00541BD1" w:rsidP="0092452C">
      <w:pPr>
        <w:jc w:val="center"/>
      </w:pPr>
    </w:p>
    <w:p w:rsidR="008D18D2" w:rsidRPr="008D18D2" w:rsidRDefault="008D18D2" w:rsidP="0092452C">
      <w:pPr>
        <w:jc w:val="center"/>
      </w:pPr>
    </w:p>
    <w:p w:rsidR="00541BD1" w:rsidRPr="008D18D2" w:rsidRDefault="00541BD1" w:rsidP="0092452C">
      <w:pPr>
        <w:jc w:val="center"/>
      </w:pPr>
    </w:p>
    <w:p w:rsidR="00541BD1" w:rsidRPr="00541BD1" w:rsidRDefault="00541BD1" w:rsidP="0092452C">
      <w:pPr>
        <w:pStyle w:val="Heading2"/>
        <w:spacing w:line="240" w:lineRule="auto"/>
        <w:jc w:val="center"/>
        <w:rPr>
          <w:i/>
          <w:sz w:val="40"/>
          <w:lang w:val="fr-FR"/>
        </w:rPr>
      </w:pPr>
      <w:r w:rsidRPr="00541BD1">
        <w:rPr>
          <w:i/>
          <w:sz w:val="40"/>
          <w:lang w:val="fr-FR"/>
        </w:rPr>
        <w:t>« Quel langage pour un pasteur! »</w:t>
      </w:r>
      <w:r w:rsidRPr="00541BD1">
        <w:rPr>
          <w:rStyle w:val="FootnoteReference"/>
          <w:sz w:val="40"/>
          <w:lang w:val="fr-FR"/>
        </w:rPr>
        <w:footnoteReference w:id="1"/>
      </w:r>
    </w:p>
    <w:p w:rsidR="00541BD1" w:rsidRPr="00541BD1" w:rsidRDefault="00541BD1" w:rsidP="0092452C">
      <w:pPr>
        <w:pStyle w:val="Heading2"/>
        <w:jc w:val="center"/>
        <w:rPr>
          <w:sz w:val="40"/>
        </w:rPr>
      </w:pPr>
      <w:r w:rsidRPr="00541BD1">
        <w:rPr>
          <w:sz w:val="40"/>
        </w:rPr>
        <w:t>The Rhetoric of Convent Theatre during the French Revolution</w:t>
      </w:r>
    </w:p>
    <w:p w:rsidR="00541BD1" w:rsidRDefault="00541BD1" w:rsidP="0092452C">
      <w:pPr>
        <w:jc w:val="both"/>
      </w:pPr>
    </w:p>
    <w:p w:rsidR="00541BD1" w:rsidRPr="00541BD1" w:rsidRDefault="00541BD1" w:rsidP="0092452C">
      <w:pPr>
        <w:jc w:val="both"/>
      </w:pPr>
    </w:p>
    <w:p w:rsidR="00541BD1" w:rsidRDefault="00541BD1" w:rsidP="0092452C">
      <w:pPr>
        <w:jc w:val="both"/>
      </w:pPr>
    </w:p>
    <w:p w:rsidR="00541BD1" w:rsidRDefault="00541BD1" w:rsidP="0092452C">
      <w:pPr>
        <w:jc w:val="both"/>
      </w:pPr>
    </w:p>
    <w:p w:rsidR="00541BD1" w:rsidRDefault="00541BD1" w:rsidP="0092452C">
      <w:pPr>
        <w:jc w:val="both"/>
      </w:pPr>
    </w:p>
    <w:p w:rsidR="008D18D2" w:rsidRDefault="008D18D2" w:rsidP="0092452C">
      <w:pPr>
        <w:jc w:val="both"/>
        <w:rPr>
          <w:b/>
          <w:sz w:val="24"/>
        </w:rPr>
      </w:pPr>
    </w:p>
    <w:p w:rsidR="00541BD1" w:rsidRPr="00541BD1" w:rsidRDefault="00541BD1" w:rsidP="0092452C">
      <w:pPr>
        <w:jc w:val="both"/>
        <w:rPr>
          <w:b/>
          <w:sz w:val="24"/>
        </w:rPr>
      </w:pPr>
      <w:r w:rsidRPr="00541BD1">
        <w:rPr>
          <w:b/>
          <w:sz w:val="24"/>
        </w:rPr>
        <w:t>An essay with particular reference to the following plays:</w:t>
      </w:r>
    </w:p>
    <w:p w:rsidR="00541BD1" w:rsidRPr="00541BD1" w:rsidRDefault="00541BD1" w:rsidP="0092452C">
      <w:pPr>
        <w:jc w:val="both"/>
        <w:rPr>
          <w:sz w:val="24"/>
          <w:lang w:val="fr-FR"/>
        </w:rPr>
      </w:pPr>
      <w:r w:rsidRPr="00541BD1">
        <w:rPr>
          <w:sz w:val="24"/>
          <w:lang w:val="fr-FR"/>
        </w:rPr>
        <w:t xml:space="preserve">Olympes de Gouges, </w:t>
      </w:r>
      <w:r w:rsidRPr="00541BD1">
        <w:rPr>
          <w:i/>
          <w:sz w:val="24"/>
          <w:lang w:val="fr-FR"/>
        </w:rPr>
        <w:t xml:space="preserve">Le Couvent ou les Vœux Forcés, </w:t>
      </w:r>
      <w:r w:rsidRPr="00541BD1">
        <w:rPr>
          <w:sz w:val="24"/>
          <w:lang w:val="fr-FR"/>
        </w:rPr>
        <w:t xml:space="preserve"> premi</w:t>
      </w:r>
      <w:r w:rsidRPr="00541BD1">
        <w:rPr>
          <w:rFonts w:cs="Times New Roman"/>
          <w:sz w:val="24"/>
          <w:lang w:val="fr-FR"/>
        </w:rPr>
        <w:t>è</w:t>
      </w:r>
      <w:r w:rsidRPr="00541BD1">
        <w:rPr>
          <w:sz w:val="24"/>
          <w:lang w:val="fr-FR"/>
        </w:rPr>
        <w:t>re le 21 octobre, 1790</w:t>
      </w:r>
    </w:p>
    <w:p w:rsidR="00541BD1" w:rsidRPr="00541BD1" w:rsidRDefault="00541BD1" w:rsidP="0092452C">
      <w:pPr>
        <w:jc w:val="both"/>
        <w:rPr>
          <w:sz w:val="24"/>
          <w:lang w:val="fr-FR"/>
        </w:rPr>
      </w:pPr>
      <w:r w:rsidRPr="00541BD1">
        <w:rPr>
          <w:sz w:val="24"/>
          <w:lang w:val="fr-FR"/>
        </w:rPr>
        <w:t xml:space="preserve">Jacques-Marie Boutet, dit Monvel, </w:t>
      </w:r>
      <w:r w:rsidRPr="00541BD1">
        <w:rPr>
          <w:i/>
          <w:sz w:val="24"/>
          <w:lang w:val="fr-FR"/>
        </w:rPr>
        <w:t xml:space="preserve">Les Victimes Cloitrées, </w:t>
      </w:r>
      <w:r w:rsidRPr="00541BD1">
        <w:rPr>
          <w:sz w:val="24"/>
          <w:lang w:val="fr-FR"/>
        </w:rPr>
        <w:t>premi</w:t>
      </w:r>
      <w:r w:rsidRPr="00541BD1">
        <w:rPr>
          <w:rFonts w:cs="Times New Roman"/>
          <w:sz w:val="24"/>
          <w:lang w:val="fr-FR"/>
        </w:rPr>
        <w:t>è</w:t>
      </w:r>
      <w:r w:rsidRPr="00541BD1">
        <w:rPr>
          <w:sz w:val="24"/>
          <w:lang w:val="fr-FR"/>
        </w:rPr>
        <w:t>re le 29 mars, 1791</w:t>
      </w:r>
    </w:p>
    <w:p w:rsidR="00541BD1" w:rsidRPr="00541BD1" w:rsidRDefault="00541BD1" w:rsidP="0092452C">
      <w:pPr>
        <w:jc w:val="both"/>
        <w:rPr>
          <w:sz w:val="24"/>
          <w:lang w:val="fr-FR"/>
        </w:rPr>
      </w:pPr>
      <w:r w:rsidRPr="00541BD1">
        <w:rPr>
          <w:sz w:val="24"/>
          <w:lang w:val="fr-FR"/>
        </w:rPr>
        <w:t xml:space="preserve">Louis-Benoit Picard, </w:t>
      </w:r>
      <w:r w:rsidRPr="00541BD1">
        <w:rPr>
          <w:i/>
          <w:sz w:val="24"/>
          <w:lang w:val="fr-FR"/>
        </w:rPr>
        <w:t xml:space="preserve"> Les Visitandines,</w:t>
      </w:r>
      <w:r w:rsidRPr="00541BD1">
        <w:rPr>
          <w:sz w:val="24"/>
          <w:lang w:val="fr-FR"/>
        </w:rPr>
        <w:t xml:space="preserve"> premi</w:t>
      </w:r>
      <w:r w:rsidRPr="00541BD1">
        <w:rPr>
          <w:rFonts w:cs="Times New Roman"/>
          <w:sz w:val="24"/>
          <w:lang w:val="fr-FR"/>
        </w:rPr>
        <w:t>ère le 7 aout, 1792</w:t>
      </w:r>
    </w:p>
    <w:p w:rsidR="008D18D2" w:rsidRPr="008D18D2" w:rsidRDefault="00541BD1" w:rsidP="0092452C">
      <w:pPr>
        <w:jc w:val="both"/>
        <w:rPr>
          <w:sz w:val="24"/>
          <w:lang w:val="fr-FR"/>
        </w:rPr>
      </w:pPr>
      <w:r w:rsidRPr="00541BD1">
        <w:rPr>
          <w:rFonts w:cs="Times New Roman"/>
          <w:sz w:val="24"/>
          <w:lang w:val="fr-FR"/>
        </w:rPr>
        <w:t xml:space="preserve">Charles-Antoine Pigault-Lebrun, </w:t>
      </w:r>
      <w:r w:rsidRPr="00541BD1">
        <w:rPr>
          <w:rFonts w:cs="Times New Roman"/>
          <w:i/>
          <w:sz w:val="24"/>
          <w:lang w:val="fr-FR"/>
        </w:rPr>
        <w:t>Les Dragons et les Bénédictines,</w:t>
      </w:r>
      <w:r w:rsidRPr="00541BD1">
        <w:rPr>
          <w:rFonts w:cs="Times New Roman"/>
          <w:sz w:val="24"/>
          <w:lang w:val="fr-FR"/>
        </w:rPr>
        <w:t xml:space="preserve"> première le 6 février, 1794</w:t>
      </w:r>
    </w:p>
    <w:p w:rsidR="008D18D2" w:rsidRDefault="008D18D2" w:rsidP="0092452C">
      <w:pPr>
        <w:jc w:val="both"/>
        <w:rPr>
          <w:lang w:val="fr-FR"/>
        </w:rPr>
      </w:pPr>
    </w:p>
    <w:p w:rsidR="008D18D2" w:rsidRPr="007517BF" w:rsidRDefault="0019606E" w:rsidP="0019606E">
      <w:pPr>
        <w:jc w:val="center"/>
        <w:rPr>
          <w:b/>
        </w:rPr>
      </w:pPr>
      <w:r w:rsidRPr="007517BF">
        <w:rPr>
          <w:b/>
        </w:rPr>
        <w:t>Word Count:</w:t>
      </w:r>
      <w:r w:rsidR="00EC4DC5">
        <w:rPr>
          <w:b/>
        </w:rPr>
        <w:t xml:space="preserve"> </w:t>
      </w:r>
      <w:r w:rsidR="005F424B">
        <w:rPr>
          <w:b/>
        </w:rPr>
        <w:t>4,750</w:t>
      </w:r>
    </w:p>
    <w:p w:rsidR="003E646B" w:rsidRPr="00FA4F65" w:rsidRDefault="00571CA0" w:rsidP="00C10F99">
      <w:pPr>
        <w:spacing w:line="480" w:lineRule="auto"/>
        <w:jc w:val="both"/>
        <w:rPr>
          <w:rFonts w:cs="Times New Roman"/>
        </w:rPr>
      </w:pPr>
      <w:r w:rsidRPr="00FA4F65">
        <w:rPr>
          <w:rFonts w:cs="Times New Roman"/>
        </w:rPr>
        <w:t>The theatre is a crucial resource for analysing the French Revolution</w:t>
      </w:r>
      <w:r w:rsidR="00075AF9" w:rsidRPr="00FA4F65">
        <w:rPr>
          <w:rFonts w:cs="Times New Roman"/>
        </w:rPr>
        <w:t xml:space="preserve">, </w:t>
      </w:r>
      <w:r w:rsidRPr="00FA4F65">
        <w:rPr>
          <w:rFonts w:cs="Times New Roman"/>
        </w:rPr>
        <w:t>not only in terms of understanding the culture but also its politics a</w:t>
      </w:r>
      <w:r w:rsidR="00075AF9" w:rsidRPr="00FA4F65">
        <w:rPr>
          <w:rFonts w:cs="Times New Roman"/>
        </w:rPr>
        <w:t>n</w:t>
      </w:r>
      <w:r w:rsidRPr="00FA4F65">
        <w:rPr>
          <w:rFonts w:cs="Times New Roman"/>
        </w:rPr>
        <w:t>d ideology</w:t>
      </w:r>
      <w:r w:rsidR="00787717" w:rsidRPr="00FA4F65">
        <w:rPr>
          <w:rFonts w:cs="Times New Roman"/>
        </w:rPr>
        <w:t xml:space="preserve">. </w:t>
      </w:r>
      <w:r w:rsidR="00075AF9" w:rsidRPr="00FA4F65">
        <w:rPr>
          <w:rFonts w:cs="Times New Roman"/>
        </w:rPr>
        <w:t xml:space="preserve">As Hyslop writes, </w:t>
      </w:r>
      <w:r w:rsidR="00FA3B5D" w:rsidRPr="00FA4F65">
        <w:rPr>
          <w:rFonts w:cs="Times New Roman"/>
        </w:rPr>
        <w:t>‘F</w:t>
      </w:r>
      <w:r w:rsidR="008D18D2" w:rsidRPr="00FA4F65">
        <w:rPr>
          <w:rFonts w:cs="Times New Roman"/>
        </w:rPr>
        <w:t>or the literary critic, the theater throws light upon the period of transition from the eighteenth century Enlightenment to the nineteenth century Romanticism. For the historian, such a study complements the knowledge of the politic</w:t>
      </w:r>
      <w:r w:rsidR="00075AF9" w:rsidRPr="00FA4F65">
        <w:rPr>
          <w:rFonts w:cs="Times New Roman"/>
        </w:rPr>
        <w:t>al, social</w:t>
      </w:r>
      <w:r w:rsidR="004734C2" w:rsidRPr="00FA4F65">
        <w:rPr>
          <w:rFonts w:cs="Times New Roman"/>
        </w:rPr>
        <w:t xml:space="preserve"> and economic crisis [and for]</w:t>
      </w:r>
      <w:r w:rsidR="00075AF9" w:rsidRPr="00FA4F65">
        <w:rPr>
          <w:rFonts w:cs="Times New Roman"/>
        </w:rPr>
        <w:t xml:space="preserve"> the psychologist</w:t>
      </w:r>
      <w:r w:rsidR="008D18D2" w:rsidRPr="00FA4F65">
        <w:rPr>
          <w:rFonts w:cs="Times New Roman"/>
        </w:rPr>
        <w:t xml:space="preserve"> </w:t>
      </w:r>
      <w:r w:rsidR="00541336" w:rsidRPr="00FA4F65">
        <w:rPr>
          <w:rFonts w:cs="Times New Roman"/>
        </w:rPr>
        <w:t>[…</w:t>
      </w:r>
      <w:r w:rsidR="00FA4F65">
        <w:rPr>
          <w:rFonts w:cs="Times New Roman"/>
        </w:rPr>
        <w:t xml:space="preserve"> </w:t>
      </w:r>
      <w:r w:rsidR="00EF2631" w:rsidRPr="00FA4F65">
        <w:rPr>
          <w:rFonts w:cs="Times New Roman"/>
        </w:rPr>
        <w:t xml:space="preserve">it </w:t>
      </w:r>
      <w:r w:rsidR="00843D65">
        <w:rPr>
          <w:rFonts w:cs="Times New Roman"/>
        </w:rPr>
        <w:t>offers light</w:t>
      </w:r>
      <w:r w:rsidR="00541336" w:rsidRPr="00FA4F65">
        <w:rPr>
          <w:rFonts w:cs="Times New Roman"/>
        </w:rPr>
        <w:t>]</w:t>
      </w:r>
      <w:r w:rsidR="008D18D2" w:rsidRPr="00FA4F65">
        <w:rPr>
          <w:rFonts w:cs="Times New Roman"/>
        </w:rPr>
        <w:t xml:space="preserve"> </w:t>
      </w:r>
      <w:r w:rsidR="00843D65">
        <w:rPr>
          <w:rFonts w:cs="Times New Roman"/>
        </w:rPr>
        <w:t xml:space="preserve">upon </w:t>
      </w:r>
      <w:r w:rsidR="008D18D2" w:rsidRPr="00FA4F65">
        <w:rPr>
          <w:rFonts w:cs="Times New Roman"/>
        </w:rPr>
        <w:t>individual and mass psychology</w:t>
      </w:r>
      <w:r w:rsidR="00192DB8">
        <w:rPr>
          <w:rFonts w:cs="Times New Roman"/>
        </w:rPr>
        <w:t xml:space="preserve"> </w:t>
      </w:r>
      <w:r w:rsidR="00843D65">
        <w:rPr>
          <w:rFonts w:cs="Times New Roman"/>
        </w:rPr>
        <w:t>during a period which combined foreign and domestic war with the use of terror against civilians.</w:t>
      </w:r>
      <w:r w:rsidR="00843D65" w:rsidRPr="00FA4F65">
        <w:rPr>
          <w:rFonts w:cs="Times New Roman"/>
        </w:rPr>
        <w:t>’</w:t>
      </w:r>
      <w:r w:rsidR="008D18D2" w:rsidRPr="00FA4F65">
        <w:rPr>
          <w:rStyle w:val="FootnoteReference"/>
          <w:rFonts w:cs="Times New Roman"/>
        </w:rPr>
        <w:footnoteReference w:id="2"/>
      </w:r>
      <w:r w:rsidR="004734C2" w:rsidRPr="00FA4F65">
        <w:rPr>
          <w:rFonts w:cs="Times New Roman"/>
        </w:rPr>
        <w:t xml:space="preserve"> </w:t>
      </w:r>
      <w:r w:rsidR="00384A43" w:rsidRPr="00FA4F65">
        <w:rPr>
          <w:rFonts w:cs="Times New Roman"/>
        </w:rPr>
        <w:t>A particularly popular genre during this per</w:t>
      </w:r>
      <w:r w:rsidR="00EF2631" w:rsidRPr="00FA4F65">
        <w:rPr>
          <w:rFonts w:cs="Times New Roman"/>
        </w:rPr>
        <w:t>iod was the convent play</w:t>
      </w:r>
      <w:r w:rsidR="00075AF9" w:rsidRPr="00FA4F65">
        <w:rPr>
          <w:rFonts w:cs="Times New Roman"/>
        </w:rPr>
        <w:t xml:space="preserve">. </w:t>
      </w:r>
      <w:r w:rsidR="00384A43" w:rsidRPr="00FA4F65">
        <w:rPr>
          <w:rFonts w:cs="Times New Roman"/>
        </w:rPr>
        <w:t xml:space="preserve">Rodmell suggests </w:t>
      </w:r>
      <w:r w:rsidR="00FE6593" w:rsidRPr="00FA4F65">
        <w:rPr>
          <w:rFonts w:cs="Times New Roman"/>
        </w:rPr>
        <w:t xml:space="preserve">this </w:t>
      </w:r>
      <w:r w:rsidR="00384A43" w:rsidRPr="00FA4F65">
        <w:rPr>
          <w:rFonts w:cs="Times New Roman"/>
        </w:rPr>
        <w:t xml:space="preserve">began with ‘Fontanelle’s </w:t>
      </w:r>
      <w:r w:rsidR="00EF2631" w:rsidRPr="00FA4F65">
        <w:rPr>
          <w:rFonts w:cs="Times New Roman"/>
          <w:i/>
        </w:rPr>
        <w:t>Ericie</w:t>
      </w:r>
      <w:r w:rsidR="00384A43" w:rsidRPr="00FA4F65">
        <w:rPr>
          <w:rFonts w:cs="Times New Roman"/>
        </w:rPr>
        <w:t xml:space="preserve"> </w:t>
      </w:r>
      <w:r w:rsidR="00075AF9" w:rsidRPr="00FA4F65">
        <w:rPr>
          <w:rFonts w:cs="Times New Roman"/>
        </w:rPr>
        <w:t>[</w:t>
      </w:r>
      <w:r w:rsidR="00FA4F65" w:rsidRPr="00FA4F65">
        <w:rPr>
          <w:rFonts w:cs="Times New Roman"/>
          <w:i/>
        </w:rPr>
        <w:t>…</w:t>
      </w:r>
      <w:r w:rsidR="00FA4F65">
        <w:rPr>
          <w:rFonts w:cs="Times New Roman"/>
          <w:i/>
        </w:rPr>
        <w:t xml:space="preserve"> </w:t>
      </w:r>
      <w:r w:rsidR="00075AF9" w:rsidRPr="00FA4F65">
        <w:rPr>
          <w:rFonts w:cs="Times New Roman"/>
        </w:rPr>
        <w:t>whom by means of</w:t>
      </w:r>
      <w:r w:rsidR="00EF2631" w:rsidRPr="00FA4F65">
        <w:rPr>
          <w:rFonts w:cs="Times New Roman"/>
        </w:rPr>
        <w:t xml:space="preserve">] </w:t>
      </w:r>
      <w:r w:rsidR="00384A43" w:rsidRPr="00FA4F65">
        <w:rPr>
          <w:rFonts w:cs="Times New Roman"/>
        </w:rPr>
        <w:t>a transparent Roman disguise, mounted an attack on the conventual</w:t>
      </w:r>
      <w:r w:rsidR="00075AF9" w:rsidRPr="00FA4F65">
        <w:rPr>
          <w:rFonts w:cs="Times New Roman"/>
        </w:rPr>
        <w:t xml:space="preserve"> system</w:t>
      </w:r>
      <w:r w:rsidR="00384A43" w:rsidRPr="00FA4F65">
        <w:rPr>
          <w:rFonts w:cs="Times New Roman"/>
        </w:rPr>
        <w:t xml:space="preserve"> with vestal virgins representing nuns’.</w:t>
      </w:r>
      <w:r w:rsidR="00384A43" w:rsidRPr="00FA4F65">
        <w:rPr>
          <w:rStyle w:val="FootnoteReference"/>
          <w:rFonts w:cs="Times New Roman"/>
        </w:rPr>
        <w:footnoteReference w:id="3"/>
      </w:r>
      <w:r w:rsidR="00146209" w:rsidRPr="00FA4F65">
        <w:rPr>
          <w:rFonts w:cs="Times New Roman"/>
        </w:rPr>
        <w:t xml:space="preserve"> B</w:t>
      </w:r>
      <w:r w:rsidR="00DF6A13" w:rsidRPr="00FA4F65">
        <w:rPr>
          <w:rFonts w:cs="Times New Roman"/>
        </w:rPr>
        <w:t>etween 1789 and 1799</w:t>
      </w:r>
      <w:r w:rsidR="004734C2" w:rsidRPr="00FA4F65">
        <w:rPr>
          <w:rFonts w:cs="Times New Roman"/>
        </w:rPr>
        <w:t xml:space="preserve"> over twenty-six plays set in or around convents or monasteries </w:t>
      </w:r>
      <w:r w:rsidR="00DF6A13" w:rsidRPr="00FA4F65">
        <w:rPr>
          <w:rFonts w:cs="Times New Roman"/>
        </w:rPr>
        <w:t>were performed in France</w:t>
      </w:r>
      <w:r w:rsidR="004734C2" w:rsidRPr="00FA4F65">
        <w:rPr>
          <w:rFonts w:cs="Times New Roman"/>
        </w:rPr>
        <w:t>.</w:t>
      </w:r>
      <w:r w:rsidR="004734C2" w:rsidRPr="00FA4F65">
        <w:rPr>
          <w:rStyle w:val="FootnoteReference"/>
          <w:rFonts w:cs="Times New Roman"/>
        </w:rPr>
        <w:footnoteReference w:id="4"/>
      </w:r>
      <w:r w:rsidR="004734C2" w:rsidRPr="00FA4F65">
        <w:rPr>
          <w:rFonts w:cs="Times New Roman"/>
        </w:rPr>
        <w:t xml:space="preserve"> </w:t>
      </w:r>
      <w:r w:rsidR="00384A43" w:rsidRPr="00FA4F65">
        <w:rPr>
          <w:rFonts w:cs="Times New Roman"/>
        </w:rPr>
        <w:t xml:space="preserve">Olympe de Gouges’ </w:t>
      </w:r>
      <w:r w:rsidR="00384A43" w:rsidRPr="00FA4F65">
        <w:rPr>
          <w:rFonts w:cs="Times New Roman"/>
          <w:i/>
        </w:rPr>
        <w:t xml:space="preserve">Le Couvent </w:t>
      </w:r>
      <w:r w:rsidR="00511119" w:rsidRPr="00FA4F65">
        <w:rPr>
          <w:rFonts w:cs="Times New Roman"/>
        </w:rPr>
        <w:t xml:space="preserve"> and Monvel’s </w:t>
      </w:r>
      <w:r w:rsidR="00511119" w:rsidRPr="00FA4F65">
        <w:rPr>
          <w:rFonts w:cs="Times New Roman"/>
          <w:i/>
        </w:rPr>
        <w:t xml:space="preserve">Les Victimes Cloitrées </w:t>
      </w:r>
      <w:r w:rsidR="00511119" w:rsidRPr="00FA4F65">
        <w:rPr>
          <w:rFonts w:cs="Times New Roman"/>
        </w:rPr>
        <w:t>were both</w:t>
      </w:r>
      <w:r w:rsidR="00384A43" w:rsidRPr="00FA4F65">
        <w:rPr>
          <w:rFonts w:cs="Times New Roman"/>
        </w:rPr>
        <w:t xml:space="preserve"> performed over ei</w:t>
      </w:r>
      <w:r w:rsidR="00DF6A13" w:rsidRPr="00FA4F65">
        <w:rPr>
          <w:rFonts w:cs="Times New Roman"/>
        </w:rPr>
        <w:t>ghty times;</w:t>
      </w:r>
      <w:r w:rsidR="00384A43" w:rsidRPr="00FA4F65">
        <w:rPr>
          <w:rFonts w:cs="Times New Roman"/>
        </w:rPr>
        <w:t xml:space="preserve"> the more common amount for a play being under ten.</w:t>
      </w:r>
      <w:r w:rsidR="00384A43" w:rsidRPr="00FA4F65">
        <w:rPr>
          <w:rStyle w:val="FootnoteReference"/>
          <w:rFonts w:cs="Times New Roman"/>
        </w:rPr>
        <w:footnoteReference w:id="5"/>
      </w:r>
      <w:r w:rsidR="00384A43" w:rsidRPr="00FA4F65">
        <w:rPr>
          <w:rFonts w:cs="Times New Roman"/>
        </w:rPr>
        <w:t xml:space="preserve"> </w:t>
      </w:r>
      <w:r w:rsidR="0009477B" w:rsidRPr="00FA4F65">
        <w:rPr>
          <w:rFonts w:cs="Times New Roman"/>
        </w:rPr>
        <w:t>D</w:t>
      </w:r>
      <w:r w:rsidR="00DF6A13" w:rsidRPr="00FA4F65">
        <w:rPr>
          <w:rFonts w:cs="Times New Roman"/>
        </w:rPr>
        <w:t>espite its</w:t>
      </w:r>
      <w:r w:rsidR="00384A43" w:rsidRPr="00FA4F65">
        <w:rPr>
          <w:rFonts w:cs="Times New Roman"/>
        </w:rPr>
        <w:t xml:space="preserve"> popula</w:t>
      </w:r>
      <w:r w:rsidR="00DF6A13" w:rsidRPr="00FA4F65">
        <w:rPr>
          <w:rFonts w:cs="Times New Roman"/>
        </w:rPr>
        <w:t>rity, Ford lame</w:t>
      </w:r>
      <w:r w:rsidR="00AA2080" w:rsidRPr="00FA4F65">
        <w:rPr>
          <w:rFonts w:cs="Times New Roman"/>
        </w:rPr>
        <w:t>nts</w:t>
      </w:r>
      <w:r w:rsidR="00384A43" w:rsidRPr="00FA4F65">
        <w:rPr>
          <w:rFonts w:cs="Times New Roman"/>
        </w:rPr>
        <w:t xml:space="preserve"> that</w:t>
      </w:r>
      <w:r w:rsidR="00B16137" w:rsidRPr="00FA4F65">
        <w:rPr>
          <w:rFonts w:cs="Times New Roman"/>
        </w:rPr>
        <w:t xml:space="preserve"> the</w:t>
      </w:r>
      <w:r w:rsidR="00384A43" w:rsidRPr="00FA4F65">
        <w:rPr>
          <w:rFonts w:cs="Times New Roman"/>
        </w:rPr>
        <w:t xml:space="preserve"> ‘relationship between the copious claustral</w:t>
      </w:r>
      <w:r w:rsidR="007B13CD" w:rsidRPr="00FA4F65">
        <w:rPr>
          <w:rFonts w:cs="Times New Roman"/>
        </w:rPr>
        <w:t xml:space="preserve"> literature produced </w:t>
      </w:r>
      <w:r w:rsidR="00384A43" w:rsidRPr="00FA4F65">
        <w:rPr>
          <w:rFonts w:cs="Times New Roman"/>
        </w:rPr>
        <w:t>between 1760 and t</w:t>
      </w:r>
      <w:r w:rsidR="00DF6A13" w:rsidRPr="00FA4F65">
        <w:rPr>
          <w:rFonts w:cs="Times New Roman"/>
        </w:rPr>
        <w:t>he 1840s … is a fascinating one</w:t>
      </w:r>
      <w:r w:rsidR="00384A43" w:rsidRPr="00FA4F65">
        <w:rPr>
          <w:rFonts w:cs="Times New Roman"/>
        </w:rPr>
        <w:t xml:space="preserve"> and has not received the consideration it deserves</w:t>
      </w:r>
      <w:r w:rsidR="00146209" w:rsidRPr="00FA4F65">
        <w:rPr>
          <w:rFonts w:cs="Times New Roman"/>
        </w:rPr>
        <w:t>'</w:t>
      </w:r>
      <w:r w:rsidR="00384A43" w:rsidRPr="00FA4F65">
        <w:rPr>
          <w:rFonts w:cs="Times New Roman"/>
        </w:rPr>
        <w:t>.</w:t>
      </w:r>
      <w:r w:rsidR="00384A43" w:rsidRPr="00FA4F65">
        <w:rPr>
          <w:rStyle w:val="FootnoteReference"/>
          <w:rFonts w:cs="Times New Roman"/>
        </w:rPr>
        <w:footnoteReference w:id="6"/>
      </w:r>
      <w:r w:rsidR="00384A43" w:rsidRPr="00FA4F65">
        <w:rPr>
          <w:rFonts w:cs="Times New Roman"/>
        </w:rPr>
        <w:t xml:space="preserve"> This essay </w:t>
      </w:r>
      <w:r w:rsidR="006D0590" w:rsidRPr="00FA4F65">
        <w:rPr>
          <w:rFonts w:cs="Times New Roman"/>
        </w:rPr>
        <w:t xml:space="preserve">is </w:t>
      </w:r>
      <w:r w:rsidR="00AA2080" w:rsidRPr="00FA4F65">
        <w:rPr>
          <w:rFonts w:cs="Times New Roman"/>
        </w:rPr>
        <w:t xml:space="preserve">therefore </w:t>
      </w:r>
      <w:r w:rsidR="006D0590" w:rsidRPr="00FA4F65">
        <w:rPr>
          <w:rFonts w:cs="Times New Roman"/>
        </w:rPr>
        <w:t>an attempt to rectify this</w:t>
      </w:r>
      <w:r w:rsidR="00D06CF0" w:rsidRPr="00FA4F65">
        <w:rPr>
          <w:rFonts w:cs="Times New Roman"/>
        </w:rPr>
        <w:t xml:space="preserve"> criticism</w:t>
      </w:r>
      <w:r w:rsidR="00AA2080" w:rsidRPr="00FA4F65">
        <w:rPr>
          <w:rFonts w:cs="Times New Roman"/>
        </w:rPr>
        <w:t>,</w:t>
      </w:r>
      <w:r w:rsidR="00DF6A13" w:rsidRPr="00FA4F65">
        <w:rPr>
          <w:rFonts w:cs="Times New Roman"/>
        </w:rPr>
        <w:t xml:space="preserve"> </w:t>
      </w:r>
      <w:r w:rsidR="00384A43" w:rsidRPr="00FA4F65">
        <w:rPr>
          <w:rFonts w:cs="Times New Roman"/>
        </w:rPr>
        <w:t xml:space="preserve">focusing on </w:t>
      </w:r>
      <w:r w:rsidR="0059758F" w:rsidRPr="00FA4F65">
        <w:rPr>
          <w:rFonts w:cs="Times New Roman"/>
        </w:rPr>
        <w:t xml:space="preserve">the years </w:t>
      </w:r>
      <w:r w:rsidR="00DF6A13" w:rsidRPr="00FA4F65">
        <w:rPr>
          <w:rFonts w:cs="Times New Roman"/>
        </w:rPr>
        <w:t>of the French Revolution</w:t>
      </w:r>
      <w:r w:rsidR="00CA391C" w:rsidRPr="00FA4F65">
        <w:rPr>
          <w:rFonts w:cs="Times New Roman"/>
        </w:rPr>
        <w:t xml:space="preserve"> from 1789 to 1794</w:t>
      </w:r>
      <w:r w:rsidR="00DF6A13" w:rsidRPr="00FA4F65">
        <w:rPr>
          <w:rFonts w:cs="Times New Roman"/>
        </w:rPr>
        <w:t>. By asking</w:t>
      </w:r>
      <w:r w:rsidR="0042536F" w:rsidRPr="00FA4F65">
        <w:rPr>
          <w:rFonts w:cs="Times New Roman"/>
        </w:rPr>
        <w:t xml:space="preserve"> </w:t>
      </w:r>
      <w:r w:rsidR="00146209" w:rsidRPr="00FA4F65">
        <w:rPr>
          <w:rFonts w:cs="Times New Roman"/>
        </w:rPr>
        <w:t>“</w:t>
      </w:r>
      <w:r w:rsidR="00DF6A13" w:rsidRPr="00FA4F65">
        <w:rPr>
          <w:rFonts w:cs="Times New Roman"/>
        </w:rPr>
        <w:t>H</w:t>
      </w:r>
      <w:r w:rsidR="0042536F" w:rsidRPr="00FA4F65">
        <w:rPr>
          <w:rFonts w:cs="Times New Roman"/>
        </w:rPr>
        <w:t xml:space="preserve">ow </w:t>
      </w:r>
      <w:r w:rsidR="00CA391C" w:rsidRPr="00FA4F65">
        <w:rPr>
          <w:rFonts w:cs="Times New Roman"/>
        </w:rPr>
        <w:t xml:space="preserve">revolutionary </w:t>
      </w:r>
      <w:r w:rsidR="007B13CD" w:rsidRPr="00FA4F65">
        <w:rPr>
          <w:rFonts w:cs="Times New Roman"/>
        </w:rPr>
        <w:t>was convent theatre?</w:t>
      </w:r>
      <w:r w:rsidR="00146209" w:rsidRPr="00FA4F65">
        <w:rPr>
          <w:rFonts w:cs="Times New Roman"/>
        </w:rPr>
        <w:t>”</w:t>
      </w:r>
      <w:r w:rsidR="007B13CD" w:rsidRPr="00FA4F65">
        <w:rPr>
          <w:rFonts w:cs="Times New Roman"/>
        </w:rPr>
        <w:t xml:space="preserve"> we shall </w:t>
      </w:r>
      <w:r w:rsidR="00CA391C" w:rsidRPr="00FA4F65">
        <w:rPr>
          <w:rFonts w:cs="Times New Roman"/>
        </w:rPr>
        <w:t>be able to understand the importance</w:t>
      </w:r>
      <w:r w:rsidR="00DF6A13" w:rsidRPr="00FA4F65">
        <w:rPr>
          <w:rFonts w:cs="Times New Roman"/>
        </w:rPr>
        <w:t>, aims and achievements of the genre,</w:t>
      </w:r>
      <w:r w:rsidR="00395448" w:rsidRPr="00FA4F65">
        <w:rPr>
          <w:rFonts w:cs="Times New Roman"/>
        </w:rPr>
        <w:t xml:space="preserve"> have a </w:t>
      </w:r>
      <w:r w:rsidR="0059758F" w:rsidRPr="00FA4F65">
        <w:rPr>
          <w:rFonts w:cs="Times New Roman"/>
        </w:rPr>
        <w:t>fresh</w:t>
      </w:r>
      <w:r w:rsidR="00395448" w:rsidRPr="00FA4F65">
        <w:rPr>
          <w:rFonts w:cs="Times New Roman"/>
        </w:rPr>
        <w:t xml:space="preserve"> ins</w:t>
      </w:r>
      <w:r w:rsidR="0042536F" w:rsidRPr="00FA4F65">
        <w:rPr>
          <w:rFonts w:cs="Times New Roman"/>
        </w:rPr>
        <w:t>ight into the French Revolution</w:t>
      </w:r>
      <w:r w:rsidR="00395448" w:rsidRPr="00FA4F65">
        <w:rPr>
          <w:rFonts w:cs="Times New Roman"/>
        </w:rPr>
        <w:t xml:space="preserve"> and a wider understanding </w:t>
      </w:r>
      <w:r w:rsidR="005D4CEA" w:rsidRPr="00FA4F65">
        <w:rPr>
          <w:rFonts w:cs="Times New Roman"/>
        </w:rPr>
        <w:t>theatre’s</w:t>
      </w:r>
      <w:r w:rsidR="00395448" w:rsidRPr="00FA4F65">
        <w:rPr>
          <w:rFonts w:cs="Times New Roman"/>
        </w:rPr>
        <w:t xml:space="preserve"> development during the period. </w:t>
      </w:r>
      <w:r w:rsidR="00294BC3" w:rsidRPr="00FA4F65">
        <w:rPr>
          <w:rFonts w:cs="Times New Roman"/>
        </w:rPr>
        <w:t xml:space="preserve">Furthermore, as </w:t>
      </w:r>
      <w:r w:rsidR="00AA2080" w:rsidRPr="00FA4F65">
        <w:rPr>
          <w:rFonts w:cs="Times New Roman"/>
        </w:rPr>
        <w:t>it is</w:t>
      </w:r>
      <w:r w:rsidR="0042536F" w:rsidRPr="00FA4F65">
        <w:rPr>
          <w:rFonts w:cs="Times New Roman"/>
        </w:rPr>
        <w:t xml:space="preserve"> </w:t>
      </w:r>
      <w:r w:rsidR="005D4CEA" w:rsidRPr="00FA4F65">
        <w:rPr>
          <w:rFonts w:cs="Times New Roman"/>
        </w:rPr>
        <w:t>‘</w:t>
      </w:r>
      <w:r w:rsidR="00294BC3" w:rsidRPr="00FA4F65">
        <w:rPr>
          <w:rFonts w:cs="Times New Roman"/>
        </w:rPr>
        <w:t xml:space="preserve">impossible to understand the revolutionary phenomenon itself without examining the very special political </w:t>
      </w:r>
      <w:r w:rsidR="00FA4F65" w:rsidRPr="00FA4F65">
        <w:rPr>
          <w:rFonts w:cs="Times New Roman"/>
        </w:rPr>
        <w:t>d</w:t>
      </w:r>
      <w:r w:rsidR="00294BC3" w:rsidRPr="00FA4F65">
        <w:rPr>
          <w:rFonts w:cs="Times New Roman"/>
        </w:rPr>
        <w:t>iscourse which it generated</w:t>
      </w:r>
      <w:r w:rsidR="00500650" w:rsidRPr="00FA4F65">
        <w:rPr>
          <w:rFonts w:cs="Times New Roman"/>
        </w:rPr>
        <w:t>,</w:t>
      </w:r>
      <w:r w:rsidR="00294BC3" w:rsidRPr="00FA4F65">
        <w:rPr>
          <w:rFonts w:cs="Times New Roman"/>
        </w:rPr>
        <w:t>’</w:t>
      </w:r>
      <w:r w:rsidR="00500650" w:rsidRPr="00FA4F65">
        <w:rPr>
          <w:rStyle w:val="FootnoteReference"/>
          <w:rFonts w:cs="Times New Roman"/>
        </w:rPr>
        <w:footnoteReference w:id="7"/>
      </w:r>
      <w:r w:rsidR="00500650" w:rsidRPr="00FA4F65">
        <w:rPr>
          <w:rFonts w:cs="Times New Roman"/>
        </w:rPr>
        <w:t xml:space="preserve"> </w:t>
      </w:r>
      <w:r w:rsidR="00294BC3" w:rsidRPr="00FA4F65">
        <w:rPr>
          <w:rFonts w:cs="Times New Roman"/>
        </w:rPr>
        <w:t xml:space="preserve">we will look </w:t>
      </w:r>
      <w:r w:rsidR="00E5290E" w:rsidRPr="00FA4F65">
        <w:rPr>
          <w:rFonts w:cs="Times New Roman"/>
        </w:rPr>
        <w:t>in particular at the plays’ rhetoric</w:t>
      </w:r>
      <w:r w:rsidR="00294BC3" w:rsidRPr="00FA4F65">
        <w:rPr>
          <w:rFonts w:cs="Times New Roman"/>
        </w:rPr>
        <w:t xml:space="preserve">. </w:t>
      </w:r>
      <w:r w:rsidR="00DF6A13" w:rsidRPr="00FA4F65">
        <w:rPr>
          <w:rFonts w:cs="Times New Roman"/>
        </w:rPr>
        <w:t xml:space="preserve">Through four popular plays which encompass the period in </w:t>
      </w:r>
      <w:r w:rsidR="003E646B" w:rsidRPr="00FA4F65">
        <w:rPr>
          <w:rFonts w:cs="Times New Roman"/>
        </w:rPr>
        <w:t xml:space="preserve">question, </w:t>
      </w:r>
      <w:r w:rsidR="00294BC3" w:rsidRPr="00FA4F65">
        <w:rPr>
          <w:rFonts w:cs="Times New Roman"/>
        </w:rPr>
        <w:t>D</w:t>
      </w:r>
      <w:r w:rsidR="00395448" w:rsidRPr="00FA4F65">
        <w:rPr>
          <w:rFonts w:cs="Times New Roman"/>
        </w:rPr>
        <w:t xml:space="preserve">e Gouges’ </w:t>
      </w:r>
      <w:r w:rsidR="00395448" w:rsidRPr="00FA4F65">
        <w:rPr>
          <w:rFonts w:cs="Times New Roman"/>
          <w:i/>
        </w:rPr>
        <w:t xml:space="preserve">Le Couvent ou les Vœux Forcés </w:t>
      </w:r>
      <w:r w:rsidR="00395448" w:rsidRPr="00FA4F65">
        <w:rPr>
          <w:rFonts w:cs="Times New Roman"/>
        </w:rPr>
        <w:t xml:space="preserve">(1790); Monvel’s </w:t>
      </w:r>
      <w:r w:rsidR="00395448" w:rsidRPr="00FA4F65">
        <w:rPr>
          <w:rFonts w:cs="Times New Roman"/>
          <w:i/>
        </w:rPr>
        <w:t>Les Victimes Cloitrées</w:t>
      </w:r>
      <w:r w:rsidR="00E21745" w:rsidRPr="00FA4F65">
        <w:rPr>
          <w:rFonts w:cs="Times New Roman"/>
        </w:rPr>
        <w:t xml:space="preserve"> (1791); Picard’s </w:t>
      </w:r>
      <w:r w:rsidR="00395448" w:rsidRPr="00FA4F65">
        <w:rPr>
          <w:rFonts w:cs="Times New Roman"/>
          <w:i/>
        </w:rPr>
        <w:t>Les Visitandines</w:t>
      </w:r>
      <w:r w:rsidR="00395448" w:rsidRPr="00FA4F65">
        <w:rPr>
          <w:rFonts w:cs="Times New Roman"/>
        </w:rPr>
        <w:t xml:space="preserve"> (1792</w:t>
      </w:r>
      <w:r w:rsidR="0042536F" w:rsidRPr="00FA4F65">
        <w:rPr>
          <w:rFonts w:cs="Times New Roman"/>
        </w:rPr>
        <w:t>)</w:t>
      </w:r>
      <w:r w:rsidR="00395448" w:rsidRPr="00FA4F65">
        <w:rPr>
          <w:rFonts w:cs="Times New Roman"/>
        </w:rPr>
        <w:t xml:space="preserve"> and Pigault-Lebrun’s </w:t>
      </w:r>
      <w:r w:rsidR="00395448" w:rsidRPr="00FA4F65">
        <w:rPr>
          <w:rFonts w:cs="Times New Roman"/>
          <w:i/>
        </w:rPr>
        <w:t>Les Dragons et les Bénédictines</w:t>
      </w:r>
      <w:r w:rsidR="003E646B" w:rsidRPr="00FA4F65">
        <w:rPr>
          <w:rFonts w:cs="Times New Roman"/>
        </w:rPr>
        <w:t xml:space="preserve"> (1794)</w:t>
      </w:r>
      <w:r w:rsidR="00DF6A13" w:rsidRPr="00FA4F65">
        <w:rPr>
          <w:rFonts w:cs="Times New Roman"/>
        </w:rPr>
        <w:t xml:space="preserve"> </w:t>
      </w:r>
      <w:r w:rsidR="00AA2080" w:rsidRPr="00FA4F65">
        <w:rPr>
          <w:rFonts w:cs="Times New Roman"/>
        </w:rPr>
        <w:t>we will</w:t>
      </w:r>
      <w:r w:rsidR="00E21745" w:rsidRPr="00FA4F65">
        <w:rPr>
          <w:rFonts w:cs="Times New Roman"/>
        </w:rPr>
        <w:t xml:space="preserve"> assess whether they </w:t>
      </w:r>
      <w:r w:rsidR="00311FF6" w:rsidRPr="00FA4F65">
        <w:rPr>
          <w:rFonts w:cs="Times New Roman"/>
        </w:rPr>
        <w:t>bec</w:t>
      </w:r>
      <w:r w:rsidR="00E21745" w:rsidRPr="00FA4F65">
        <w:rPr>
          <w:rFonts w:cs="Times New Roman"/>
        </w:rPr>
        <w:t>ame increasingly</w:t>
      </w:r>
      <w:r w:rsidR="00311FF6" w:rsidRPr="00FA4F65">
        <w:rPr>
          <w:rFonts w:cs="Times New Roman"/>
        </w:rPr>
        <w:t xml:space="preserve"> radical</w:t>
      </w:r>
      <w:r w:rsidR="003E646B" w:rsidRPr="00FA4F65">
        <w:rPr>
          <w:rFonts w:cs="Times New Roman"/>
        </w:rPr>
        <w:t xml:space="preserve"> reflecting the political atmosphere of that period</w:t>
      </w:r>
      <w:r w:rsidR="00395448" w:rsidRPr="00FA4F65">
        <w:rPr>
          <w:rFonts w:cs="Times New Roman"/>
        </w:rPr>
        <w:t>.</w:t>
      </w:r>
      <w:r w:rsidR="00B16137" w:rsidRPr="00FA4F65">
        <w:rPr>
          <w:rStyle w:val="FootnoteReference"/>
          <w:rFonts w:cs="Times New Roman"/>
        </w:rPr>
        <w:footnoteReference w:id="8"/>
      </w:r>
      <w:r w:rsidR="00EE15B9" w:rsidRPr="00FA4F65">
        <w:rPr>
          <w:rFonts w:cs="Times New Roman"/>
        </w:rPr>
        <w:t xml:space="preserve"> </w:t>
      </w:r>
    </w:p>
    <w:p w:rsidR="00BA537F" w:rsidRPr="00FA4F65" w:rsidRDefault="00AA2080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>The structure of this essay will be as follows: f</w:t>
      </w:r>
      <w:r w:rsidR="00FE6593" w:rsidRPr="00FA4F65">
        <w:rPr>
          <w:rFonts w:cs="Times New Roman"/>
        </w:rPr>
        <w:t>irstly, w</w:t>
      </w:r>
      <w:r w:rsidR="00F530D8" w:rsidRPr="00FA4F65">
        <w:rPr>
          <w:rFonts w:cs="Times New Roman"/>
        </w:rPr>
        <w:t xml:space="preserve">e shall </w:t>
      </w:r>
      <w:r w:rsidR="00FE6593" w:rsidRPr="00FA4F65">
        <w:rPr>
          <w:rFonts w:cs="Times New Roman"/>
        </w:rPr>
        <w:t>question</w:t>
      </w:r>
      <w:r w:rsidR="003E646B" w:rsidRPr="00FA4F65">
        <w:rPr>
          <w:rFonts w:cs="Times New Roman"/>
        </w:rPr>
        <w:t xml:space="preserve"> the novelt</w:t>
      </w:r>
      <w:r w:rsidR="00E5290E" w:rsidRPr="00FA4F65">
        <w:rPr>
          <w:rFonts w:cs="Times New Roman"/>
        </w:rPr>
        <w:t>y of convent theatre</w:t>
      </w:r>
      <w:r w:rsidR="00B16137" w:rsidRPr="00FA4F65">
        <w:rPr>
          <w:rFonts w:cs="Times New Roman"/>
        </w:rPr>
        <w:t xml:space="preserve">; </w:t>
      </w:r>
      <w:r w:rsidR="00FE6593" w:rsidRPr="00FA4F65">
        <w:rPr>
          <w:rFonts w:cs="Times New Roman"/>
        </w:rPr>
        <w:t xml:space="preserve">secondly, we shall </w:t>
      </w:r>
      <w:r w:rsidR="00F530D8" w:rsidRPr="00FA4F65">
        <w:rPr>
          <w:rFonts w:cs="Times New Roman"/>
        </w:rPr>
        <w:t>assess</w:t>
      </w:r>
      <w:r w:rsidR="00FE6593" w:rsidRPr="00FA4F65">
        <w:rPr>
          <w:rFonts w:cs="Times New Roman"/>
        </w:rPr>
        <w:t xml:space="preserve"> whether the</w:t>
      </w:r>
      <w:r w:rsidR="00311FF6" w:rsidRPr="00FA4F65">
        <w:rPr>
          <w:rFonts w:cs="Times New Roman"/>
        </w:rPr>
        <w:t xml:space="preserve"> rhetori</w:t>
      </w:r>
      <w:r w:rsidR="00FE6593" w:rsidRPr="00FA4F65">
        <w:rPr>
          <w:rFonts w:cs="Times New Roman"/>
        </w:rPr>
        <w:t>c depicts</w:t>
      </w:r>
      <w:r w:rsidR="00B16137" w:rsidRPr="00FA4F65">
        <w:rPr>
          <w:rFonts w:cs="Times New Roman"/>
        </w:rPr>
        <w:t xml:space="preserve"> Revolutionary ideals; t</w:t>
      </w:r>
      <w:r w:rsidR="00311FF6" w:rsidRPr="00FA4F65">
        <w:rPr>
          <w:rFonts w:cs="Times New Roman"/>
        </w:rPr>
        <w:t xml:space="preserve">hirdly, we </w:t>
      </w:r>
      <w:r w:rsidR="00F530D8" w:rsidRPr="00FA4F65">
        <w:rPr>
          <w:rFonts w:cs="Times New Roman"/>
        </w:rPr>
        <w:t>will</w:t>
      </w:r>
      <w:r w:rsidR="00311FF6" w:rsidRPr="00FA4F65">
        <w:rPr>
          <w:rFonts w:cs="Times New Roman"/>
        </w:rPr>
        <w:t xml:space="preserve"> consider the question of women and finally, </w:t>
      </w:r>
      <w:r w:rsidR="007B13CD" w:rsidRPr="00FA4F65">
        <w:rPr>
          <w:rFonts w:cs="Times New Roman"/>
        </w:rPr>
        <w:t xml:space="preserve">we </w:t>
      </w:r>
      <w:r w:rsidR="00F530D8" w:rsidRPr="00FA4F65">
        <w:rPr>
          <w:rFonts w:cs="Times New Roman"/>
        </w:rPr>
        <w:t xml:space="preserve">will ask whether </w:t>
      </w:r>
      <w:r w:rsidR="006D54AE" w:rsidRPr="00FA4F65">
        <w:rPr>
          <w:rFonts w:cs="Times New Roman"/>
        </w:rPr>
        <w:t xml:space="preserve">the plays </w:t>
      </w:r>
      <w:r w:rsidR="0059758F" w:rsidRPr="00FA4F65">
        <w:rPr>
          <w:rFonts w:cs="Times New Roman"/>
        </w:rPr>
        <w:t>reflect</w:t>
      </w:r>
      <w:r w:rsidR="006D54AE" w:rsidRPr="00FA4F65">
        <w:rPr>
          <w:rFonts w:cs="Times New Roman"/>
        </w:rPr>
        <w:t xml:space="preserve"> the </w:t>
      </w:r>
      <w:r w:rsidR="00FE6593" w:rsidRPr="00FA4F65">
        <w:rPr>
          <w:rFonts w:cs="Times New Roman"/>
        </w:rPr>
        <w:t>Revolution’s</w:t>
      </w:r>
      <w:r w:rsidR="006D54AE" w:rsidRPr="00FA4F65">
        <w:rPr>
          <w:rFonts w:cs="Times New Roman"/>
        </w:rPr>
        <w:t xml:space="preserve"> anticlerica</w:t>
      </w:r>
      <w:r w:rsidR="00FE6593" w:rsidRPr="00FA4F65">
        <w:rPr>
          <w:rFonts w:cs="Times New Roman"/>
        </w:rPr>
        <w:t>lism.</w:t>
      </w:r>
      <w:r w:rsidRPr="00FA4F65">
        <w:rPr>
          <w:rFonts w:cs="Times New Roman"/>
        </w:rPr>
        <w:t xml:space="preserve"> This</w:t>
      </w:r>
      <w:r w:rsidR="0059758F" w:rsidRPr="00FA4F65">
        <w:rPr>
          <w:rFonts w:cs="Times New Roman"/>
        </w:rPr>
        <w:t xml:space="preserve"> should</w:t>
      </w:r>
      <w:r w:rsidR="006D54AE" w:rsidRPr="00FA4F65">
        <w:rPr>
          <w:rFonts w:cs="Times New Roman"/>
        </w:rPr>
        <w:t xml:space="preserve"> allow for a thorough analysis of co</w:t>
      </w:r>
      <w:r w:rsidR="0059758F" w:rsidRPr="00FA4F65">
        <w:rPr>
          <w:rFonts w:cs="Times New Roman"/>
        </w:rPr>
        <w:t xml:space="preserve">nvent theatre, whilst providing a large scope for debate. </w:t>
      </w:r>
      <w:r w:rsidR="009741FE" w:rsidRPr="00FA4F65">
        <w:rPr>
          <w:rFonts w:cs="Times New Roman"/>
        </w:rPr>
        <w:t>I</w:t>
      </w:r>
      <w:r w:rsidR="00BA537F" w:rsidRPr="00FA4F65">
        <w:rPr>
          <w:rFonts w:cs="Times New Roman"/>
        </w:rPr>
        <w:t xml:space="preserve">t should be </w:t>
      </w:r>
      <w:r w:rsidR="0059758F" w:rsidRPr="00FA4F65">
        <w:rPr>
          <w:rFonts w:cs="Times New Roman"/>
        </w:rPr>
        <w:t>noted</w:t>
      </w:r>
      <w:r w:rsidR="00BA537F" w:rsidRPr="00FA4F65">
        <w:rPr>
          <w:rFonts w:cs="Times New Roman"/>
        </w:rPr>
        <w:t xml:space="preserve"> that all of these</w:t>
      </w:r>
      <w:r w:rsidR="003E646B" w:rsidRPr="00FA4F65">
        <w:rPr>
          <w:rFonts w:cs="Times New Roman"/>
        </w:rPr>
        <w:t xml:space="preserve"> plays were performed in Paris. T</w:t>
      </w:r>
      <w:r w:rsidR="00B16137" w:rsidRPr="00FA4F65">
        <w:rPr>
          <w:rFonts w:cs="Times New Roman"/>
        </w:rPr>
        <w:t>hey</w:t>
      </w:r>
      <w:r w:rsidR="009741FE" w:rsidRPr="00FA4F65">
        <w:rPr>
          <w:rFonts w:cs="Times New Roman"/>
        </w:rPr>
        <w:t xml:space="preserve"> </w:t>
      </w:r>
      <w:r w:rsidR="003E646B" w:rsidRPr="00FA4F65">
        <w:rPr>
          <w:rFonts w:cs="Times New Roman"/>
        </w:rPr>
        <w:t xml:space="preserve">therefore </w:t>
      </w:r>
      <w:r w:rsidR="009741FE" w:rsidRPr="00FA4F65">
        <w:rPr>
          <w:rFonts w:cs="Times New Roman"/>
        </w:rPr>
        <w:t>represent a Parisian</w:t>
      </w:r>
      <w:r w:rsidR="00BA537F" w:rsidRPr="00FA4F65">
        <w:rPr>
          <w:rFonts w:cs="Times New Roman"/>
        </w:rPr>
        <w:t xml:space="preserve"> perspective of the Revolution, arguably different from that found </w:t>
      </w:r>
      <w:r w:rsidR="00BA537F" w:rsidRPr="00FA4F65">
        <w:rPr>
          <w:rFonts w:cs="Times New Roman"/>
          <w:i/>
        </w:rPr>
        <w:t>en province</w:t>
      </w:r>
      <w:r w:rsidR="00BA537F" w:rsidRPr="00FA4F65">
        <w:rPr>
          <w:rFonts w:cs="Times New Roman"/>
        </w:rPr>
        <w:t xml:space="preserve">. Rodmell </w:t>
      </w:r>
      <w:r w:rsidR="0059758F" w:rsidRPr="00FA4F65">
        <w:rPr>
          <w:rFonts w:cs="Times New Roman"/>
        </w:rPr>
        <w:t>states</w:t>
      </w:r>
      <w:r w:rsidR="003E646B" w:rsidRPr="00FA4F65">
        <w:rPr>
          <w:rFonts w:cs="Times New Roman"/>
        </w:rPr>
        <w:t xml:space="preserve"> that </w:t>
      </w:r>
      <w:r w:rsidR="00BA537F" w:rsidRPr="00FA4F65">
        <w:rPr>
          <w:rFonts w:cs="Times New Roman"/>
        </w:rPr>
        <w:t xml:space="preserve">‘it is proper to concentrate on </w:t>
      </w:r>
      <w:r w:rsidR="003E646B" w:rsidRPr="00FA4F65">
        <w:rPr>
          <w:rFonts w:cs="Times New Roman"/>
        </w:rPr>
        <w:t>the Paris theatres because … [this</w:t>
      </w:r>
      <w:r w:rsidR="00BA537F" w:rsidRPr="00FA4F65">
        <w:rPr>
          <w:rFonts w:cs="Times New Roman"/>
        </w:rPr>
        <w:t xml:space="preserve"> was</w:t>
      </w:r>
      <w:r w:rsidR="007B13CD" w:rsidRPr="00FA4F65">
        <w:rPr>
          <w:rFonts w:cs="Times New Roman"/>
        </w:rPr>
        <w:t xml:space="preserve"> where]</w:t>
      </w:r>
      <w:r w:rsidR="00BA537F" w:rsidRPr="00FA4F65">
        <w:rPr>
          <w:rFonts w:cs="Times New Roman"/>
        </w:rPr>
        <w:t xml:space="preserve"> the heart of the Revolution was to be found, and … [where] theatre was above all </w:t>
      </w:r>
      <w:r w:rsidR="0059758F" w:rsidRPr="00FA4F65">
        <w:rPr>
          <w:rFonts w:cs="Times New Roman"/>
        </w:rPr>
        <w:t xml:space="preserve">significant, </w:t>
      </w:r>
      <w:r w:rsidR="00BA537F" w:rsidRPr="00FA4F65">
        <w:rPr>
          <w:rFonts w:cs="Times New Roman"/>
        </w:rPr>
        <w:t>becoming directly involved in the political action of the time</w:t>
      </w:r>
      <w:r w:rsidR="00B16137" w:rsidRPr="00FA4F65">
        <w:rPr>
          <w:rFonts w:cs="Times New Roman"/>
        </w:rPr>
        <w:t>’</w:t>
      </w:r>
      <w:r w:rsidR="00BA537F" w:rsidRPr="00FA4F65">
        <w:rPr>
          <w:rFonts w:cs="Times New Roman"/>
        </w:rPr>
        <w:t>.</w:t>
      </w:r>
      <w:r w:rsidR="00BA537F" w:rsidRPr="00FA4F65">
        <w:rPr>
          <w:rStyle w:val="FootnoteReference"/>
          <w:rFonts w:cs="Times New Roman"/>
        </w:rPr>
        <w:footnoteReference w:id="9"/>
      </w:r>
    </w:p>
    <w:p w:rsidR="0059758F" w:rsidRPr="00FA4F65" w:rsidRDefault="0059758F" w:rsidP="00C10F99">
      <w:pPr>
        <w:spacing w:line="480" w:lineRule="auto"/>
        <w:jc w:val="both"/>
        <w:rPr>
          <w:rFonts w:cs="Times New Roman"/>
        </w:rPr>
      </w:pPr>
    </w:p>
    <w:p w:rsidR="00082F03" w:rsidRPr="00FA4F65" w:rsidRDefault="00082F03" w:rsidP="00C10F99">
      <w:pPr>
        <w:pStyle w:val="Heading3"/>
        <w:spacing w:line="480" w:lineRule="auto"/>
        <w:jc w:val="center"/>
        <w:rPr>
          <w:rFonts w:cs="Times New Roman"/>
        </w:rPr>
      </w:pPr>
      <w:r w:rsidRPr="00FA4F65">
        <w:rPr>
          <w:rFonts w:cs="Times New Roman"/>
        </w:rPr>
        <w:t>The Novelty of Convent Theatre</w:t>
      </w:r>
    </w:p>
    <w:p w:rsidR="00A57CC8" w:rsidRPr="00FA4F65" w:rsidRDefault="006D0590" w:rsidP="00267BB3">
      <w:pPr>
        <w:spacing w:line="480" w:lineRule="auto"/>
        <w:ind w:firstLine="567"/>
        <w:jc w:val="both"/>
        <w:rPr>
          <w:rFonts w:cs="Times New Roman"/>
          <w:lang w:val="fr-FR"/>
        </w:rPr>
      </w:pPr>
      <w:r w:rsidRPr="00FA4F65">
        <w:rPr>
          <w:rFonts w:cs="Times New Roman"/>
        </w:rPr>
        <w:t>Revolutionary can be defined as</w:t>
      </w:r>
      <w:r w:rsidR="00311FF6" w:rsidRPr="00FA4F65">
        <w:rPr>
          <w:rFonts w:cs="Times New Roman"/>
        </w:rPr>
        <w:t xml:space="preserve"> ‘relating to, characterized by, or of the </w:t>
      </w:r>
      <w:r w:rsidR="003E646B" w:rsidRPr="00FA4F65">
        <w:rPr>
          <w:rFonts w:cs="Times New Roman"/>
        </w:rPr>
        <w:t xml:space="preserve">nature of political revolution and </w:t>
      </w:r>
      <w:r w:rsidR="00311FF6" w:rsidRPr="00FA4F65">
        <w:rPr>
          <w:rFonts w:cs="Times New Roman"/>
        </w:rPr>
        <w:t>involving or constituting radical cha</w:t>
      </w:r>
      <w:r w:rsidR="00625973" w:rsidRPr="00FA4F65">
        <w:rPr>
          <w:rFonts w:cs="Times New Roman"/>
        </w:rPr>
        <w:t>nge</w:t>
      </w:r>
      <w:r w:rsidR="00311FF6" w:rsidRPr="00FA4F65">
        <w:rPr>
          <w:rFonts w:cs="Times New Roman"/>
        </w:rPr>
        <w:t>.’</w:t>
      </w:r>
      <w:r w:rsidR="00311FF6" w:rsidRPr="00FA4F65">
        <w:rPr>
          <w:rStyle w:val="FootnoteReference"/>
          <w:rFonts w:cs="Times New Roman"/>
        </w:rPr>
        <w:footnoteReference w:id="10"/>
      </w:r>
      <w:r w:rsidR="00F50109" w:rsidRPr="00FA4F65">
        <w:rPr>
          <w:rFonts w:cs="Times New Roman"/>
        </w:rPr>
        <w:t xml:space="preserve"> In terms of the genre</w:t>
      </w:r>
      <w:r w:rsidR="00311FF6" w:rsidRPr="00FA4F65">
        <w:rPr>
          <w:rFonts w:cs="Times New Roman"/>
        </w:rPr>
        <w:t xml:space="preserve">, </w:t>
      </w:r>
      <w:r w:rsidR="003E646B" w:rsidRPr="00FA4F65">
        <w:rPr>
          <w:rFonts w:cs="Times New Roman"/>
        </w:rPr>
        <w:t>no particular</w:t>
      </w:r>
      <w:r w:rsidR="00311FF6" w:rsidRPr="00FA4F65">
        <w:rPr>
          <w:rFonts w:cs="Times New Roman"/>
        </w:rPr>
        <w:t xml:space="preserve"> ‘radical change’ took place with the birth of convent theatre</w:t>
      </w:r>
      <w:r w:rsidR="0009477B" w:rsidRPr="00FA4F65">
        <w:rPr>
          <w:rFonts w:cs="Times New Roman"/>
        </w:rPr>
        <w:t xml:space="preserve"> during the French Revolution</w:t>
      </w:r>
      <w:r w:rsidR="00311FF6" w:rsidRPr="00FA4F65">
        <w:rPr>
          <w:rFonts w:cs="Times New Roman"/>
        </w:rPr>
        <w:t xml:space="preserve">. </w:t>
      </w:r>
      <w:r w:rsidR="00AA2080" w:rsidRPr="00FA4F65">
        <w:rPr>
          <w:rFonts w:cs="Times New Roman"/>
        </w:rPr>
        <w:t>Indeed, t</w:t>
      </w:r>
      <w:r w:rsidR="00FD02C4" w:rsidRPr="00FA4F65">
        <w:rPr>
          <w:rFonts w:cs="Times New Roman"/>
        </w:rPr>
        <w:t>he political attack on the convent ‘was b</w:t>
      </w:r>
      <w:r w:rsidR="003E646B" w:rsidRPr="00FA4F65">
        <w:rPr>
          <w:rFonts w:cs="Times New Roman"/>
        </w:rPr>
        <w:t>y no means novel’ writes Walker</w:t>
      </w:r>
      <w:r w:rsidR="00787717" w:rsidRPr="00FA4F65">
        <w:rPr>
          <w:rFonts w:cs="Times New Roman"/>
        </w:rPr>
        <w:t>,</w:t>
      </w:r>
      <w:r w:rsidR="00FD02C4" w:rsidRPr="00FA4F65">
        <w:rPr>
          <w:rFonts w:cs="Times New Roman"/>
        </w:rPr>
        <w:t xml:space="preserve"> </w:t>
      </w:r>
      <w:r w:rsidR="00146209" w:rsidRPr="00FA4F65">
        <w:rPr>
          <w:rFonts w:cs="Times New Roman"/>
        </w:rPr>
        <w:t>citing P</w:t>
      </w:r>
      <w:r w:rsidR="00625973" w:rsidRPr="00FA4F65">
        <w:rPr>
          <w:rFonts w:cs="Times New Roman"/>
        </w:rPr>
        <w:t>rotestant anti-monas</w:t>
      </w:r>
      <w:r w:rsidR="00146209" w:rsidRPr="00FA4F65">
        <w:rPr>
          <w:rFonts w:cs="Times New Roman"/>
        </w:rPr>
        <w:t>ticism in the sixteenth century as an example of</w:t>
      </w:r>
      <w:r w:rsidR="00FD02C4" w:rsidRPr="00FA4F65">
        <w:rPr>
          <w:rFonts w:cs="Times New Roman"/>
        </w:rPr>
        <w:t xml:space="preserve"> </w:t>
      </w:r>
      <w:r w:rsidR="00146209" w:rsidRPr="00FA4F65">
        <w:rPr>
          <w:rFonts w:cs="Times New Roman"/>
        </w:rPr>
        <w:t>‘</w:t>
      </w:r>
      <w:r w:rsidR="00FD02C4" w:rsidRPr="00FA4F65">
        <w:rPr>
          <w:rFonts w:cs="Times New Roman"/>
        </w:rPr>
        <w:t>how potent a symbol of religious and civic identity the convent has always been’.</w:t>
      </w:r>
      <w:r w:rsidR="00625973" w:rsidRPr="00FA4F65">
        <w:rPr>
          <w:rStyle w:val="FootnoteReference"/>
          <w:rFonts w:cs="Times New Roman"/>
        </w:rPr>
        <w:footnoteReference w:id="11"/>
      </w:r>
      <w:r w:rsidR="00FD02C4" w:rsidRPr="00FA4F65">
        <w:rPr>
          <w:rStyle w:val="FootnoteReference"/>
          <w:rFonts w:cs="Times New Roman"/>
        </w:rPr>
        <w:t xml:space="preserve"> </w:t>
      </w:r>
      <w:r w:rsidR="00FD02C4" w:rsidRPr="00FA4F65">
        <w:rPr>
          <w:rFonts w:cs="Times New Roman"/>
        </w:rPr>
        <w:t>Rivers recalls the hundreds of eigh</w:t>
      </w:r>
      <w:r w:rsidR="003E646B" w:rsidRPr="00FA4F65">
        <w:rPr>
          <w:rFonts w:cs="Times New Roman"/>
        </w:rPr>
        <w:t>teenth century libertine novels</w:t>
      </w:r>
      <w:r w:rsidR="00FD02C4" w:rsidRPr="00FA4F65">
        <w:rPr>
          <w:rFonts w:cs="Times New Roman"/>
        </w:rPr>
        <w:t xml:space="preserve"> whose titles have clerical references</w:t>
      </w:r>
      <w:r w:rsidR="00C03BC3" w:rsidRPr="00FA4F65">
        <w:rPr>
          <w:rFonts w:cs="Times New Roman"/>
        </w:rPr>
        <w:t xml:space="preserve"> or are set inside convents</w:t>
      </w:r>
      <w:r w:rsidR="00FD02C4" w:rsidRPr="00FA4F65">
        <w:rPr>
          <w:rFonts w:cs="Times New Roman"/>
        </w:rPr>
        <w:t>.</w:t>
      </w:r>
      <w:r w:rsidR="00C03BC3" w:rsidRPr="00FA4F65">
        <w:rPr>
          <w:rStyle w:val="FootnoteReference"/>
          <w:rFonts w:cs="Times New Roman"/>
        </w:rPr>
        <w:footnoteReference w:id="12"/>
      </w:r>
      <w:r w:rsidR="00C03BC3" w:rsidRPr="00FA4F65">
        <w:rPr>
          <w:rFonts w:cs="Times New Roman"/>
        </w:rPr>
        <w:t xml:space="preserve"> </w:t>
      </w:r>
      <w:r w:rsidR="00A57CC8" w:rsidRPr="00FA4F65">
        <w:rPr>
          <w:rFonts w:cs="Times New Roman"/>
          <w:lang w:val="fr-FR"/>
        </w:rPr>
        <w:t xml:space="preserve">Even in de Gouges’ </w:t>
      </w:r>
      <w:r w:rsidR="003E646B" w:rsidRPr="00FA4F65">
        <w:rPr>
          <w:rFonts w:cs="Times New Roman"/>
          <w:i/>
          <w:lang w:val="fr-FR"/>
        </w:rPr>
        <w:t>Le Couvent</w:t>
      </w:r>
      <w:r w:rsidR="003E646B" w:rsidRPr="00FA4F65">
        <w:rPr>
          <w:rFonts w:cs="Times New Roman"/>
          <w:lang w:val="fr-FR"/>
        </w:rPr>
        <w:t xml:space="preserve"> </w:t>
      </w:r>
      <w:r w:rsidR="00311FF6" w:rsidRPr="00FA4F65">
        <w:rPr>
          <w:rFonts w:cs="Times New Roman"/>
          <w:lang w:val="fr-FR"/>
        </w:rPr>
        <w:t>the Chevalier quips</w:t>
      </w:r>
      <w:r w:rsidR="00A57CC8" w:rsidRPr="00FA4F65">
        <w:rPr>
          <w:rFonts w:cs="Times New Roman"/>
          <w:lang w:val="fr-FR"/>
        </w:rPr>
        <w:t xml:space="preserve">: </w:t>
      </w:r>
    </w:p>
    <w:p w:rsidR="00A57CC8" w:rsidRPr="00FA4F65" w:rsidRDefault="00A57CC8" w:rsidP="00C10F99">
      <w:pPr>
        <w:spacing w:line="480" w:lineRule="auto"/>
        <w:ind w:left="567" w:right="521"/>
        <w:jc w:val="both"/>
        <w:rPr>
          <w:rFonts w:cs="Times New Roman"/>
          <w:lang w:val="fr-FR"/>
        </w:rPr>
      </w:pPr>
      <w:r w:rsidRPr="00FA4F65">
        <w:rPr>
          <w:rFonts w:cs="Times New Roman"/>
          <w:i/>
          <w:lang w:val="fr-FR"/>
        </w:rPr>
        <w:t>Crois-tu que ce soit la première fois qu’un amant déguisé est entré … dans ces asiles. Crois-moi, … il se passe souvent dans ces retraites des aventures que le public ignore</w:t>
      </w:r>
      <w:r w:rsidR="00192DB8">
        <w:rPr>
          <w:rFonts w:cs="Times New Roman"/>
          <w:i/>
          <w:lang w:val="fr-FR"/>
        </w:rPr>
        <w:t>.</w:t>
      </w:r>
      <w:r w:rsidRPr="00FA4F65">
        <w:rPr>
          <w:rStyle w:val="FootnoteReference"/>
          <w:rFonts w:cs="Times New Roman"/>
          <w:lang w:val="fr-FR"/>
        </w:rPr>
        <w:footnoteReference w:id="13"/>
      </w:r>
    </w:p>
    <w:p w:rsidR="00082F03" w:rsidRPr="00FA4F65" w:rsidRDefault="009E363B" w:rsidP="00C10F99">
      <w:pPr>
        <w:spacing w:line="480" w:lineRule="auto"/>
        <w:jc w:val="both"/>
        <w:rPr>
          <w:rFonts w:cs="Times New Roman"/>
        </w:rPr>
      </w:pPr>
      <w:r w:rsidRPr="00FA4F65">
        <w:rPr>
          <w:rFonts w:cs="Times New Roman"/>
        </w:rPr>
        <w:t>Ironically, the 18</w:t>
      </w:r>
      <w:r w:rsidRPr="00FA4F65">
        <w:rPr>
          <w:rFonts w:cs="Times New Roman"/>
          <w:vertAlign w:val="superscript"/>
        </w:rPr>
        <w:t>th</w:t>
      </w:r>
      <w:r w:rsidRPr="00FA4F65">
        <w:rPr>
          <w:rFonts w:cs="Times New Roman"/>
        </w:rPr>
        <w:t xml:space="preserve"> century public certainly did not ignore such </w:t>
      </w:r>
      <w:r w:rsidR="00192DB8">
        <w:rPr>
          <w:rFonts w:cs="Times New Roman"/>
        </w:rPr>
        <w:t>‘</w:t>
      </w:r>
      <w:r w:rsidRPr="00FA4F65">
        <w:rPr>
          <w:rFonts w:cs="Times New Roman"/>
          <w:i/>
        </w:rPr>
        <w:t>aventures</w:t>
      </w:r>
      <w:r w:rsidR="00192DB8">
        <w:rPr>
          <w:rFonts w:cs="Times New Roman"/>
        </w:rPr>
        <w:t>’</w:t>
      </w:r>
      <w:r w:rsidRPr="00FA4F65">
        <w:rPr>
          <w:rFonts w:cs="Times New Roman"/>
          <w:i/>
        </w:rPr>
        <w:t>.</w:t>
      </w:r>
      <w:r w:rsidRPr="00FA4F65">
        <w:rPr>
          <w:rFonts w:cs="Times New Roman"/>
        </w:rPr>
        <w:t xml:space="preserve"> Their obsession with religious institutions – be it through hate or er</w:t>
      </w:r>
      <w:r w:rsidR="00892444" w:rsidRPr="00FA4F65">
        <w:rPr>
          <w:rFonts w:cs="Times New Roman"/>
        </w:rPr>
        <w:t>otic appeal – will become</w:t>
      </w:r>
      <w:r w:rsidRPr="00FA4F65">
        <w:rPr>
          <w:rFonts w:cs="Times New Roman"/>
        </w:rPr>
        <w:t xml:space="preserve"> apparent throughout our discussion. Furthermore, </w:t>
      </w:r>
      <w:r w:rsidR="00511119" w:rsidRPr="00FA4F65">
        <w:rPr>
          <w:rFonts w:cs="Times New Roman"/>
        </w:rPr>
        <w:t xml:space="preserve">Diderot’s </w:t>
      </w:r>
      <w:r w:rsidR="00311FF6" w:rsidRPr="00FA4F65">
        <w:rPr>
          <w:rFonts w:cs="Times New Roman"/>
          <w:i/>
        </w:rPr>
        <w:t>La Religieuse</w:t>
      </w:r>
      <w:r w:rsidR="001E5CB5" w:rsidRPr="00FA4F65">
        <w:rPr>
          <w:rFonts w:cs="Times New Roman"/>
          <w:i/>
        </w:rPr>
        <w:t xml:space="preserve"> </w:t>
      </w:r>
      <w:r w:rsidR="001E5CB5" w:rsidRPr="00FA4F65">
        <w:rPr>
          <w:rFonts w:cs="Times New Roman"/>
        </w:rPr>
        <w:t>(1796)</w:t>
      </w:r>
      <w:r w:rsidR="00311FF6" w:rsidRPr="00FA4F65">
        <w:rPr>
          <w:rFonts w:cs="Times New Roman"/>
        </w:rPr>
        <w:t>,</w:t>
      </w:r>
      <w:r w:rsidRPr="00FA4F65">
        <w:rPr>
          <w:rFonts w:cs="Times New Roman"/>
        </w:rPr>
        <w:t xml:space="preserve"> arguably the most popular piece of convent literature, </w:t>
      </w:r>
      <w:r w:rsidR="00511119" w:rsidRPr="00FA4F65">
        <w:rPr>
          <w:rFonts w:cs="Times New Roman"/>
        </w:rPr>
        <w:t>‘is only one famous example of a rather common tale’.</w:t>
      </w:r>
      <w:r w:rsidR="00511119" w:rsidRPr="00FA4F65">
        <w:rPr>
          <w:rStyle w:val="FootnoteReference"/>
          <w:rFonts w:cs="Times New Roman"/>
        </w:rPr>
        <w:footnoteReference w:id="14"/>
      </w:r>
      <w:r w:rsidR="00511119" w:rsidRPr="00FA4F65">
        <w:rPr>
          <w:rFonts w:cs="Times New Roman"/>
        </w:rPr>
        <w:t xml:space="preserve"> </w:t>
      </w:r>
      <w:r w:rsidR="001E5CB5" w:rsidRPr="00FA4F65">
        <w:rPr>
          <w:rFonts w:cs="Times New Roman"/>
        </w:rPr>
        <w:t>Al</w:t>
      </w:r>
      <w:r w:rsidR="00D513DE" w:rsidRPr="00FA4F65">
        <w:rPr>
          <w:rFonts w:cs="Times New Roman"/>
        </w:rPr>
        <w:t>though it appears to be a Revolutionary</w:t>
      </w:r>
      <w:r w:rsidR="001E5CB5" w:rsidRPr="00FA4F65">
        <w:rPr>
          <w:rFonts w:cs="Times New Roman"/>
        </w:rPr>
        <w:t xml:space="preserve"> text, it was originally w</w:t>
      </w:r>
      <w:r w:rsidRPr="00FA4F65">
        <w:rPr>
          <w:rFonts w:cs="Times New Roman"/>
        </w:rPr>
        <w:t>ritten in 1760, further highlighting this</w:t>
      </w:r>
      <w:r w:rsidR="00EB571D" w:rsidRPr="00FA4F65">
        <w:rPr>
          <w:rFonts w:cs="Times New Roman"/>
        </w:rPr>
        <w:t xml:space="preserve"> longstanding</w:t>
      </w:r>
      <w:r w:rsidR="00625973" w:rsidRPr="00FA4F65">
        <w:rPr>
          <w:rFonts w:cs="Times New Roman"/>
        </w:rPr>
        <w:t xml:space="preserve"> </w:t>
      </w:r>
      <w:r w:rsidR="001E5CB5" w:rsidRPr="00FA4F65">
        <w:rPr>
          <w:rFonts w:cs="Times New Roman"/>
        </w:rPr>
        <w:t>in</w:t>
      </w:r>
      <w:r w:rsidR="00161E32" w:rsidRPr="00FA4F65">
        <w:rPr>
          <w:rFonts w:cs="Times New Roman"/>
        </w:rPr>
        <w:t xml:space="preserve">terest in cloistral literature. </w:t>
      </w:r>
    </w:p>
    <w:p w:rsidR="00082F03" w:rsidRPr="00FA4F65" w:rsidRDefault="009E363B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>T</w:t>
      </w:r>
      <w:r w:rsidR="001E5CB5" w:rsidRPr="00FA4F65">
        <w:rPr>
          <w:rFonts w:cs="Times New Roman"/>
        </w:rPr>
        <w:t>he weakening of censorship</w:t>
      </w:r>
      <w:r w:rsidR="00545716" w:rsidRPr="00FA4F65">
        <w:rPr>
          <w:rFonts w:cs="Times New Roman"/>
        </w:rPr>
        <w:t xml:space="preserve"> was hugely significant for c</w:t>
      </w:r>
      <w:r w:rsidRPr="00FA4F65">
        <w:rPr>
          <w:rFonts w:cs="Times New Roman"/>
        </w:rPr>
        <w:t>onvent theatre</w:t>
      </w:r>
      <w:r w:rsidR="001E5CB5" w:rsidRPr="00FA4F65">
        <w:rPr>
          <w:rFonts w:cs="Times New Roman"/>
        </w:rPr>
        <w:t xml:space="preserve"> during the Revolutionary period.</w:t>
      </w:r>
      <w:r w:rsidR="008C6D83" w:rsidRPr="00FA4F65">
        <w:rPr>
          <w:rFonts w:cs="Times New Roman"/>
        </w:rPr>
        <w:t xml:space="preserve"> </w:t>
      </w:r>
      <w:r w:rsidR="00B87ECB" w:rsidRPr="00B87ECB">
        <w:rPr>
          <w:rFonts w:cs="Times New Roman"/>
        </w:rPr>
        <w:t>Maso</w:t>
      </w:r>
      <w:r w:rsidR="00B87ECB">
        <w:rPr>
          <w:rFonts w:cs="Times New Roman"/>
        </w:rPr>
        <w:t>n</w:t>
      </w:r>
      <w:r w:rsidR="00B87ECB" w:rsidRPr="00B87ECB">
        <w:rPr>
          <w:rFonts w:cs="Times New Roman"/>
        </w:rPr>
        <w:t xml:space="preserve"> describes the history of eighteenth</w:t>
      </w:r>
      <w:r w:rsidR="00B87ECB">
        <w:rPr>
          <w:rFonts w:cs="Times New Roman"/>
        </w:rPr>
        <w:t>-</w:t>
      </w:r>
      <w:r w:rsidR="00B87ECB" w:rsidRPr="00B87ECB">
        <w:rPr>
          <w:rFonts w:cs="Times New Roman"/>
        </w:rPr>
        <w:t>century French theatre as ‘one long-continued struggle for freedom’.</w:t>
      </w:r>
      <w:r w:rsidR="00B87ECB">
        <w:rPr>
          <w:rStyle w:val="FootnoteReference"/>
          <w:rFonts w:cs="Times New Roman"/>
        </w:rPr>
        <w:footnoteReference w:id="15"/>
      </w:r>
      <w:r w:rsidR="00B87ECB" w:rsidRPr="00B87ECB">
        <w:rPr>
          <w:rFonts w:cs="Times New Roman"/>
        </w:rPr>
        <w:t xml:space="preserve"> </w:t>
      </w:r>
      <w:r w:rsidR="00B87ECB">
        <w:rPr>
          <w:rFonts w:cs="Times New Roman"/>
          <w:lang w:val="fr-FR"/>
        </w:rPr>
        <w:t>This explains de Souza’s argument that</w:t>
      </w:r>
      <w:r w:rsidR="008C6D83" w:rsidRPr="00FA4F65">
        <w:rPr>
          <w:rFonts w:cs="Times New Roman"/>
          <w:lang w:val="fr-FR"/>
        </w:rPr>
        <w:t xml:space="preserve"> ‘</w:t>
      </w:r>
      <w:r w:rsidR="008C6D83" w:rsidRPr="00FA4F65">
        <w:rPr>
          <w:rFonts w:cs="Times New Roman"/>
          <w:i/>
          <w:lang w:val="fr-FR"/>
        </w:rPr>
        <w:t>le côté dramatique de leur</w:t>
      </w:r>
      <w:r w:rsidR="008C6D83" w:rsidRPr="00FA4F65">
        <w:rPr>
          <w:rFonts w:cs="Times New Roman"/>
          <w:lang w:val="fr-FR"/>
        </w:rPr>
        <w:t xml:space="preserve"> [the nuns’]</w:t>
      </w:r>
      <w:r w:rsidR="008C6D83" w:rsidRPr="00FA4F65">
        <w:rPr>
          <w:rFonts w:cs="Times New Roman"/>
          <w:i/>
          <w:lang w:val="fr-FR"/>
        </w:rPr>
        <w:t xml:space="preserve"> situation</w:t>
      </w:r>
      <w:r w:rsidR="00B87ECB">
        <w:rPr>
          <w:rFonts w:cs="Times New Roman"/>
          <w:lang w:val="fr-FR"/>
        </w:rPr>
        <w:t xml:space="preserve"> [as in, the concept of convent theatre]</w:t>
      </w:r>
      <w:r w:rsidR="008C6D83" w:rsidRPr="00FA4F65">
        <w:rPr>
          <w:rFonts w:cs="Times New Roman"/>
          <w:i/>
          <w:lang w:val="fr-FR"/>
        </w:rPr>
        <w:t xml:space="preserve"> n’avait pas échappé aux écrivains d’avant la Révolution ; mais la censure était trop sévère pour qu’elle pût être exposée au théâtre</w:t>
      </w:r>
      <w:r w:rsidR="008C6D83" w:rsidRPr="00FA4F65">
        <w:rPr>
          <w:rFonts w:cs="Times New Roman"/>
          <w:lang w:val="fr-FR"/>
        </w:rPr>
        <w:t>’</w:t>
      </w:r>
      <w:r w:rsidR="008C6D83" w:rsidRPr="00FA4F65">
        <w:rPr>
          <w:rFonts w:cs="Times New Roman"/>
          <w:i/>
          <w:lang w:val="fr-FR"/>
        </w:rPr>
        <w:t>.</w:t>
      </w:r>
      <w:r w:rsidR="008C6D83" w:rsidRPr="00FA4F65">
        <w:rPr>
          <w:rStyle w:val="FootnoteReference"/>
          <w:rFonts w:cs="Times New Roman"/>
          <w:lang w:val="fr-FR"/>
        </w:rPr>
        <w:footnoteReference w:id="16"/>
      </w:r>
      <w:r w:rsidR="008C6D83" w:rsidRPr="00FA4F65">
        <w:rPr>
          <w:rFonts w:cs="Times New Roman"/>
          <w:i/>
          <w:lang w:val="fr-FR"/>
        </w:rPr>
        <w:t xml:space="preserve"> </w:t>
      </w:r>
      <w:r w:rsidR="001E5CB5" w:rsidRPr="00FA4F65">
        <w:rPr>
          <w:rFonts w:cs="Times New Roman"/>
        </w:rPr>
        <w:t xml:space="preserve">Freedom of speech was a </w:t>
      </w:r>
      <w:r w:rsidRPr="00FA4F65">
        <w:rPr>
          <w:rFonts w:cs="Times New Roman"/>
        </w:rPr>
        <w:t>key feature of 1789: n</w:t>
      </w:r>
      <w:r w:rsidR="001E5CB5" w:rsidRPr="00FA4F65">
        <w:rPr>
          <w:rFonts w:cs="Times New Roman"/>
        </w:rPr>
        <w:t>o longer did writers have to disguise criticism</w:t>
      </w:r>
      <w:r w:rsidR="0015500D" w:rsidRPr="00FA4F65">
        <w:rPr>
          <w:rFonts w:cs="Times New Roman"/>
        </w:rPr>
        <w:t>s</w:t>
      </w:r>
      <w:r w:rsidR="001E5CB5" w:rsidRPr="00FA4F65">
        <w:rPr>
          <w:rFonts w:cs="Times New Roman"/>
        </w:rPr>
        <w:t xml:space="preserve"> of the </w:t>
      </w:r>
      <w:r w:rsidR="00EB571D" w:rsidRPr="00FA4F65">
        <w:rPr>
          <w:rFonts w:cs="Times New Roman"/>
        </w:rPr>
        <w:t xml:space="preserve">King or Church and, </w:t>
      </w:r>
      <w:r w:rsidR="0015500D" w:rsidRPr="00FA4F65">
        <w:rPr>
          <w:rFonts w:cs="Times New Roman"/>
        </w:rPr>
        <w:t xml:space="preserve">coupled </w:t>
      </w:r>
      <w:r w:rsidR="00EB571D" w:rsidRPr="00FA4F65">
        <w:rPr>
          <w:rFonts w:cs="Times New Roman"/>
        </w:rPr>
        <w:t>w</w:t>
      </w:r>
      <w:r w:rsidR="0015500D" w:rsidRPr="00FA4F65">
        <w:rPr>
          <w:rFonts w:cs="Times New Roman"/>
        </w:rPr>
        <w:t>ith the</w:t>
      </w:r>
      <w:r w:rsidR="001E5CB5" w:rsidRPr="00FA4F65">
        <w:rPr>
          <w:rFonts w:cs="Times New Roman"/>
        </w:rPr>
        <w:t xml:space="preserve"> ever-expanding </w:t>
      </w:r>
      <w:r w:rsidR="00E73125" w:rsidRPr="00FA4F65">
        <w:rPr>
          <w:rFonts w:cs="Times New Roman"/>
        </w:rPr>
        <w:t>printing industry</w:t>
      </w:r>
      <w:r w:rsidR="003E646B" w:rsidRPr="00FA4F65">
        <w:rPr>
          <w:rFonts w:cs="Times New Roman"/>
        </w:rPr>
        <w:t>, precipitated</w:t>
      </w:r>
      <w:r w:rsidR="00F530D8" w:rsidRPr="00FA4F65">
        <w:rPr>
          <w:rFonts w:cs="Times New Roman"/>
        </w:rPr>
        <w:t xml:space="preserve"> a boom in publications</w:t>
      </w:r>
      <w:r w:rsidR="00E73125" w:rsidRPr="00FA4F65">
        <w:rPr>
          <w:rFonts w:cs="Times New Roman"/>
        </w:rPr>
        <w:t>.</w:t>
      </w:r>
      <w:r w:rsidR="008F080E" w:rsidRPr="00FA4F65">
        <w:rPr>
          <w:rFonts w:cs="Times New Roman"/>
        </w:rPr>
        <w:t xml:space="preserve"> </w:t>
      </w:r>
      <w:r w:rsidR="0015500D" w:rsidRPr="00FA4F65">
        <w:rPr>
          <w:rFonts w:cs="Times New Roman"/>
        </w:rPr>
        <w:t>By 1790 the Gallican church’s ban on performing in clerical costume had been disregarded.</w:t>
      </w:r>
      <w:r w:rsidR="0015500D" w:rsidRPr="00FA4F65">
        <w:rPr>
          <w:rStyle w:val="FootnoteReference"/>
          <w:rFonts w:cs="Times New Roman"/>
        </w:rPr>
        <w:footnoteReference w:id="17"/>
      </w:r>
      <w:r w:rsidR="0015500D" w:rsidRPr="00FA4F65">
        <w:rPr>
          <w:rFonts w:cs="Times New Roman"/>
        </w:rPr>
        <w:t xml:space="preserve"> Convent theatre provided the perfect genre to confirm this revolutionary break from tradition. Indeed, a</w:t>
      </w:r>
      <w:r w:rsidR="00B80E98" w:rsidRPr="00FA4F65">
        <w:rPr>
          <w:rFonts w:cs="Times New Roman"/>
        </w:rPr>
        <w:t xml:space="preserve">fter </w:t>
      </w:r>
      <w:r w:rsidR="00B80E98" w:rsidRPr="00FA4F65">
        <w:rPr>
          <w:rFonts w:cs="Times New Roman"/>
          <w:i/>
        </w:rPr>
        <w:t>Ericie</w:t>
      </w:r>
      <w:r w:rsidR="003E646B" w:rsidRPr="00FA4F65">
        <w:rPr>
          <w:rFonts w:cs="Times New Roman"/>
        </w:rPr>
        <w:t xml:space="preserve"> came</w:t>
      </w:r>
      <w:r w:rsidR="00B80E98" w:rsidRPr="00FA4F65">
        <w:rPr>
          <w:rFonts w:cs="Times New Roman"/>
        </w:rPr>
        <w:t xml:space="preserve"> </w:t>
      </w:r>
      <w:r w:rsidR="00DA2ADF" w:rsidRPr="00FA4F65">
        <w:rPr>
          <w:rFonts w:cs="Times New Roman"/>
        </w:rPr>
        <w:t xml:space="preserve">Laujon’s </w:t>
      </w:r>
      <w:r w:rsidR="00DA2ADF" w:rsidRPr="00FA4F65">
        <w:rPr>
          <w:rFonts w:cs="Times New Roman"/>
          <w:i/>
        </w:rPr>
        <w:t>Le Couvent ou les fruits de l’éducation</w:t>
      </w:r>
      <w:r w:rsidR="00DA2ADF" w:rsidRPr="00FA4F65">
        <w:rPr>
          <w:rFonts w:cs="Times New Roman"/>
        </w:rPr>
        <w:t>, performed in April, 1791</w:t>
      </w:r>
      <w:r w:rsidR="0015500D" w:rsidRPr="00FA4F65">
        <w:rPr>
          <w:rFonts w:cs="Times New Roman"/>
        </w:rPr>
        <w:t xml:space="preserve">, which thoroughly exploited the relaxation of legislation; </w:t>
      </w:r>
      <w:r w:rsidR="00DA2ADF" w:rsidRPr="00FA4F65">
        <w:rPr>
          <w:rFonts w:cs="Times New Roman"/>
        </w:rPr>
        <w:t xml:space="preserve">Rodmell suggests </w:t>
      </w:r>
      <w:r w:rsidR="0015500D" w:rsidRPr="00FA4F65">
        <w:rPr>
          <w:rFonts w:cs="Times New Roman"/>
        </w:rPr>
        <w:t>it</w:t>
      </w:r>
      <w:r w:rsidR="00DA2ADF" w:rsidRPr="00FA4F65">
        <w:rPr>
          <w:rFonts w:cs="Times New Roman"/>
        </w:rPr>
        <w:t xml:space="preserve"> carved the way </w:t>
      </w:r>
      <w:r w:rsidR="0015500D" w:rsidRPr="00FA4F65">
        <w:rPr>
          <w:rFonts w:cs="Times New Roman"/>
        </w:rPr>
        <w:t>for many more, ‘some of them decidedly scurrilous in nature’</w:t>
      </w:r>
      <w:r w:rsidR="00DA2ADF" w:rsidRPr="00FA4F65">
        <w:rPr>
          <w:rFonts w:cs="Times New Roman"/>
        </w:rPr>
        <w:t>.</w:t>
      </w:r>
      <w:r w:rsidR="00DA2ADF" w:rsidRPr="00FA4F65">
        <w:rPr>
          <w:rStyle w:val="FootnoteReference"/>
          <w:rFonts w:cs="Times New Roman"/>
        </w:rPr>
        <w:footnoteReference w:id="18"/>
      </w:r>
      <w:r w:rsidR="00DA2ADF" w:rsidRPr="00FA4F65">
        <w:rPr>
          <w:rFonts w:cs="Times New Roman"/>
        </w:rPr>
        <w:t xml:space="preserve"> </w:t>
      </w:r>
      <w:r w:rsidR="00602C8F" w:rsidRPr="00FA4F65">
        <w:rPr>
          <w:rFonts w:cs="Times New Roman"/>
        </w:rPr>
        <w:t>The thrilling controversy these plays would provoke is difficult for a twentieth century audience to imagine. However, to see figures of authority (clergy, noblemen and king) ridiculed on stage,</w:t>
      </w:r>
      <w:r w:rsidR="00843D65">
        <w:rPr>
          <w:rFonts w:cs="Times New Roman"/>
        </w:rPr>
        <w:t xml:space="preserve"> in their traditional robes and</w:t>
      </w:r>
      <w:r w:rsidR="00602C8F" w:rsidRPr="00FA4F65">
        <w:rPr>
          <w:rFonts w:cs="Times New Roman"/>
        </w:rPr>
        <w:t xml:space="preserve"> without allegory for a shield</w:t>
      </w:r>
      <w:r w:rsidR="00787717" w:rsidRPr="00FA4F65">
        <w:rPr>
          <w:rFonts w:cs="Times New Roman"/>
        </w:rPr>
        <w:t xml:space="preserve"> (such as </w:t>
      </w:r>
      <w:r w:rsidR="00787717" w:rsidRPr="00FA4F65">
        <w:rPr>
          <w:rFonts w:cs="Times New Roman"/>
          <w:i/>
        </w:rPr>
        <w:t xml:space="preserve">Ericie’s </w:t>
      </w:r>
      <w:r w:rsidR="00843D65">
        <w:rPr>
          <w:rFonts w:cs="Times New Roman"/>
        </w:rPr>
        <w:t>Roman metaphor</w:t>
      </w:r>
      <w:r w:rsidR="00787717" w:rsidRPr="00FA4F65">
        <w:rPr>
          <w:rFonts w:cs="Times New Roman"/>
        </w:rPr>
        <w:t>)</w:t>
      </w:r>
      <w:r w:rsidR="00602C8F" w:rsidRPr="00FA4F65">
        <w:rPr>
          <w:rFonts w:cs="Times New Roman"/>
        </w:rPr>
        <w:t>, is a force revolutionary theatre provided which cannot be underestimated.</w:t>
      </w:r>
    </w:p>
    <w:p w:rsidR="00E74404" w:rsidRPr="00FA4F65" w:rsidRDefault="00AC70A9" w:rsidP="00AC70A9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 xml:space="preserve">Let us now consider whether the convent plays marked a turning point in theatre’s development. </w:t>
      </w:r>
      <w:r w:rsidR="00602C8F" w:rsidRPr="00FA4F65">
        <w:rPr>
          <w:rFonts w:cs="Times New Roman"/>
        </w:rPr>
        <w:t>While the</w:t>
      </w:r>
      <w:r w:rsidR="00F50109" w:rsidRPr="00FA4F65">
        <w:rPr>
          <w:rFonts w:cs="Times New Roman"/>
        </w:rPr>
        <w:t xml:space="preserve"> majority of revolutionary plays</w:t>
      </w:r>
      <w:r w:rsidR="00602C8F" w:rsidRPr="00FA4F65">
        <w:rPr>
          <w:rFonts w:cs="Times New Roman"/>
        </w:rPr>
        <w:t xml:space="preserve"> continued to</w:t>
      </w:r>
      <w:r w:rsidR="00F50109" w:rsidRPr="00FA4F65">
        <w:rPr>
          <w:rFonts w:cs="Times New Roman"/>
        </w:rPr>
        <w:t xml:space="preserve"> follow the trad</w:t>
      </w:r>
      <w:r w:rsidR="003E646B" w:rsidRPr="00FA4F65">
        <w:rPr>
          <w:rFonts w:cs="Times New Roman"/>
        </w:rPr>
        <w:t>itional five act</w:t>
      </w:r>
      <w:r w:rsidR="00602C8F" w:rsidRPr="00FA4F65">
        <w:rPr>
          <w:rFonts w:cs="Times New Roman"/>
        </w:rPr>
        <w:t xml:space="preserve"> tragedy or high comedy</w:t>
      </w:r>
      <w:r w:rsidR="003E646B" w:rsidRPr="00FA4F65">
        <w:rPr>
          <w:rFonts w:cs="Times New Roman"/>
        </w:rPr>
        <w:t xml:space="preserve"> in verse,</w:t>
      </w:r>
      <w:r w:rsidR="00F50109" w:rsidRPr="00FA4F65">
        <w:rPr>
          <w:rFonts w:cs="Times New Roman"/>
        </w:rPr>
        <w:t xml:space="preserve"> the convent plays did not, pursui</w:t>
      </w:r>
      <w:r w:rsidR="00602C8F" w:rsidRPr="00FA4F65">
        <w:rPr>
          <w:rFonts w:cs="Times New Roman"/>
        </w:rPr>
        <w:t xml:space="preserve">ng the newer style of melodrama. </w:t>
      </w:r>
      <w:r w:rsidR="00545716" w:rsidRPr="00FA4F65">
        <w:rPr>
          <w:rFonts w:cs="Times New Roman"/>
        </w:rPr>
        <w:t>Furthermore</w:t>
      </w:r>
      <w:r w:rsidRPr="00FA4F65">
        <w:rPr>
          <w:rFonts w:cs="Times New Roman"/>
        </w:rPr>
        <w:t xml:space="preserve">, </w:t>
      </w:r>
      <w:r w:rsidR="001056AF" w:rsidRPr="00FA4F65">
        <w:rPr>
          <w:rFonts w:cs="Times New Roman"/>
        </w:rPr>
        <w:t xml:space="preserve">Marchand stresses that convent theatre marked the appearance of increased (and often unnecessary) stage directions, citing </w:t>
      </w:r>
      <w:r w:rsidR="001056AF" w:rsidRPr="00FA4F65">
        <w:rPr>
          <w:rFonts w:cs="Times New Roman"/>
          <w:i/>
        </w:rPr>
        <w:t>Les Dragons et les bénédictines</w:t>
      </w:r>
      <w:r w:rsidR="001056AF" w:rsidRPr="00FA4F65">
        <w:rPr>
          <w:rFonts w:cs="Times New Roman"/>
        </w:rPr>
        <w:t xml:space="preserve"> as an example.</w:t>
      </w:r>
      <w:r w:rsidRPr="00FA4F65">
        <w:rPr>
          <w:rStyle w:val="FootnoteReference"/>
          <w:rFonts w:cs="Times New Roman"/>
        </w:rPr>
        <w:footnoteReference w:id="19"/>
      </w:r>
      <w:r w:rsidRPr="00FA4F65">
        <w:rPr>
          <w:rFonts w:cs="Times New Roman"/>
        </w:rPr>
        <w:t xml:space="preserve"> Most importantly, however, </w:t>
      </w:r>
      <w:r w:rsidR="00F50109" w:rsidRPr="00FA4F65">
        <w:rPr>
          <w:rFonts w:cs="Times New Roman"/>
          <w:i/>
        </w:rPr>
        <w:t xml:space="preserve">Les Victimes Cloitrées </w:t>
      </w:r>
      <w:r w:rsidR="00FE6593" w:rsidRPr="00FA4F65">
        <w:rPr>
          <w:rFonts w:cs="Times New Roman"/>
        </w:rPr>
        <w:t xml:space="preserve">is considered </w:t>
      </w:r>
      <w:r w:rsidR="00F50109" w:rsidRPr="00FA4F65">
        <w:rPr>
          <w:rFonts w:cs="Times New Roman"/>
        </w:rPr>
        <w:t>to be ‘the first example of a new type of melodrama in France’</w:t>
      </w:r>
      <w:r w:rsidR="00F50109" w:rsidRPr="00FA4F65">
        <w:rPr>
          <w:rStyle w:val="FootnoteReference"/>
          <w:rFonts w:cs="Times New Roman"/>
        </w:rPr>
        <w:footnoteReference w:id="20"/>
      </w:r>
      <w:r w:rsidR="00F50109" w:rsidRPr="00FA4F65">
        <w:rPr>
          <w:rFonts w:cs="Times New Roman"/>
        </w:rPr>
        <w:t xml:space="preserve"> which was to replace the ‘farcical and scatological’</w:t>
      </w:r>
      <w:r w:rsidR="00F50109" w:rsidRPr="00FA4F65">
        <w:rPr>
          <w:rStyle w:val="FootnoteReference"/>
          <w:rFonts w:cs="Times New Roman"/>
        </w:rPr>
        <w:footnoteReference w:id="21"/>
      </w:r>
      <w:r w:rsidR="000136D6" w:rsidRPr="00FA4F65">
        <w:rPr>
          <w:rFonts w:cs="Times New Roman"/>
        </w:rPr>
        <w:t xml:space="preserve"> style</w:t>
      </w:r>
      <w:r w:rsidR="00F50109" w:rsidRPr="00FA4F65">
        <w:rPr>
          <w:rFonts w:cs="Times New Roman"/>
        </w:rPr>
        <w:t xml:space="preserve"> of previous performances. </w:t>
      </w:r>
      <w:r w:rsidR="00FE6593" w:rsidRPr="00FA4F65">
        <w:rPr>
          <w:rFonts w:cs="Times New Roman"/>
        </w:rPr>
        <w:t>Moreover,</w:t>
      </w:r>
      <w:r w:rsidR="00F50109" w:rsidRPr="00FA4F65">
        <w:rPr>
          <w:rFonts w:cs="Times New Roman"/>
        </w:rPr>
        <w:t xml:space="preserve"> Ginisty considers the fourth act to epitomise melodrama in terms of style and tone.</w:t>
      </w:r>
      <w:r w:rsidR="00F50109" w:rsidRPr="00FA4F65">
        <w:rPr>
          <w:rStyle w:val="FootnoteReference"/>
          <w:rFonts w:cs="Times New Roman"/>
        </w:rPr>
        <w:footnoteReference w:id="22"/>
      </w:r>
      <w:r w:rsidR="00F50109" w:rsidRPr="00FA4F65">
        <w:rPr>
          <w:rFonts w:cs="Times New Roman"/>
        </w:rPr>
        <w:t xml:space="preserve"> </w:t>
      </w:r>
      <w:r w:rsidR="00A771A4" w:rsidRPr="00FA4F65">
        <w:rPr>
          <w:rFonts w:cs="Times New Roman"/>
        </w:rPr>
        <w:t xml:space="preserve">If convent theatre was </w:t>
      </w:r>
      <w:r w:rsidR="000136D6" w:rsidRPr="00FA4F65">
        <w:rPr>
          <w:rFonts w:cs="Times New Roman"/>
        </w:rPr>
        <w:t>the debut of melodrama and breakdown of</w:t>
      </w:r>
      <w:r w:rsidR="00A771A4" w:rsidRPr="00FA4F65">
        <w:rPr>
          <w:rFonts w:cs="Times New Roman"/>
        </w:rPr>
        <w:t xml:space="preserve"> traditional structur</w:t>
      </w:r>
      <w:r w:rsidR="00F8235A" w:rsidRPr="00FA4F65">
        <w:rPr>
          <w:rFonts w:cs="Times New Roman"/>
        </w:rPr>
        <w:t xml:space="preserve">e, </w:t>
      </w:r>
      <w:r w:rsidR="00A771A4" w:rsidRPr="00FA4F65">
        <w:rPr>
          <w:rFonts w:cs="Times New Roman"/>
        </w:rPr>
        <w:t>the lack of literature on the subj</w:t>
      </w:r>
      <w:r w:rsidR="006A1C95" w:rsidRPr="00FA4F65">
        <w:rPr>
          <w:rFonts w:cs="Times New Roman"/>
        </w:rPr>
        <w:t>ect proves even more astounding</w:t>
      </w:r>
      <w:r w:rsidR="00A771A4" w:rsidRPr="00FA4F65">
        <w:rPr>
          <w:rFonts w:cs="Times New Roman"/>
        </w:rPr>
        <w:t xml:space="preserve">. </w:t>
      </w:r>
      <w:r w:rsidR="00B16137" w:rsidRPr="00FA4F65">
        <w:rPr>
          <w:rFonts w:cs="Times New Roman"/>
        </w:rPr>
        <w:t xml:space="preserve">However, </w:t>
      </w:r>
      <w:r w:rsidR="00F50109" w:rsidRPr="00FA4F65">
        <w:rPr>
          <w:rFonts w:cs="Times New Roman"/>
        </w:rPr>
        <w:t>t</w:t>
      </w:r>
      <w:r w:rsidR="00767764" w:rsidRPr="00FA4F65">
        <w:rPr>
          <w:rFonts w:cs="Times New Roman"/>
        </w:rPr>
        <w:t>he convent plays still follow</w:t>
      </w:r>
      <w:r w:rsidR="00B16137" w:rsidRPr="00FA4F65">
        <w:rPr>
          <w:rFonts w:cs="Times New Roman"/>
        </w:rPr>
        <w:t>ed</w:t>
      </w:r>
      <w:r w:rsidR="00767764" w:rsidRPr="00FA4F65">
        <w:rPr>
          <w:rFonts w:cs="Times New Roman"/>
        </w:rPr>
        <w:t xml:space="preserve"> the Aristotelian unities of time, place and action</w:t>
      </w:r>
      <w:r w:rsidR="00A771A4" w:rsidRPr="00FA4F65">
        <w:rPr>
          <w:rFonts w:cs="Times New Roman"/>
        </w:rPr>
        <w:t>: t</w:t>
      </w:r>
      <w:r w:rsidR="00767764" w:rsidRPr="00FA4F65">
        <w:rPr>
          <w:rFonts w:cs="Times New Roman"/>
        </w:rPr>
        <w:t xml:space="preserve">he events </w:t>
      </w:r>
      <w:r w:rsidR="000136D6" w:rsidRPr="00FA4F65">
        <w:rPr>
          <w:rFonts w:cs="Times New Roman"/>
        </w:rPr>
        <w:t>occur within less than one day (</w:t>
      </w:r>
      <w:r w:rsidR="00767764" w:rsidRPr="00FA4F65">
        <w:rPr>
          <w:rFonts w:cs="Times New Roman"/>
        </w:rPr>
        <w:t>in almost real-time</w:t>
      </w:r>
      <w:r w:rsidR="000136D6" w:rsidRPr="00FA4F65">
        <w:rPr>
          <w:rFonts w:cs="Times New Roman"/>
        </w:rPr>
        <w:t>)</w:t>
      </w:r>
      <w:r w:rsidR="009A2551" w:rsidRPr="00FA4F65">
        <w:rPr>
          <w:rFonts w:cs="Times New Roman"/>
        </w:rPr>
        <w:t>,</w:t>
      </w:r>
      <w:r w:rsidR="00767764" w:rsidRPr="00FA4F65">
        <w:rPr>
          <w:rFonts w:cs="Times New Roman"/>
        </w:rPr>
        <w:t xml:space="preserve"> they are all set in o</w:t>
      </w:r>
      <w:r w:rsidR="009A2551" w:rsidRPr="00FA4F65">
        <w:rPr>
          <w:rFonts w:cs="Times New Roman"/>
        </w:rPr>
        <w:t>ne general locality, they have few subplots, the servants pla</w:t>
      </w:r>
      <w:r w:rsidR="006A1C95" w:rsidRPr="00FA4F65">
        <w:rPr>
          <w:rFonts w:cs="Times New Roman"/>
        </w:rPr>
        <w:t>y the wise yet comic roles whilst</w:t>
      </w:r>
      <w:r w:rsidR="009A2551" w:rsidRPr="00FA4F65">
        <w:rPr>
          <w:rFonts w:cs="Times New Roman"/>
        </w:rPr>
        <w:t xml:space="preserve"> the middle to upper class characters are more serious and all drama is resolved at the end.</w:t>
      </w:r>
      <w:r w:rsidR="001056AF" w:rsidRPr="00FA4F65">
        <w:rPr>
          <w:rFonts w:cs="Times New Roman"/>
        </w:rPr>
        <w:t xml:space="preserve"> We can therefore conclude that whilst revolutionary in terms of breaking taboo and inspiring a new style of theatre; the setting in literature was by no means original at the time of the Revolution; and the plays retained several fundamentally traditional elements.</w:t>
      </w:r>
    </w:p>
    <w:p w:rsidR="00BD7C89" w:rsidRPr="00FA4F65" w:rsidRDefault="00BD7C89" w:rsidP="00C10F99">
      <w:pPr>
        <w:spacing w:line="480" w:lineRule="auto"/>
        <w:jc w:val="both"/>
        <w:rPr>
          <w:rFonts w:cs="Times New Roman"/>
        </w:rPr>
      </w:pPr>
    </w:p>
    <w:p w:rsidR="00825C76" w:rsidRPr="00FA4F65" w:rsidRDefault="00082F03" w:rsidP="00C10F99">
      <w:pPr>
        <w:pStyle w:val="Heading3"/>
        <w:spacing w:line="480" w:lineRule="auto"/>
        <w:jc w:val="center"/>
        <w:rPr>
          <w:rFonts w:cs="Times New Roman"/>
        </w:rPr>
      </w:pPr>
      <w:r w:rsidRPr="00FA4F65">
        <w:rPr>
          <w:rFonts w:cs="Times New Roman"/>
        </w:rPr>
        <w:t>Convent Theatre and Revolutionary Ideology</w:t>
      </w:r>
    </w:p>
    <w:p w:rsidR="00863F49" w:rsidRPr="00FA4F65" w:rsidRDefault="00863F49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Style w:val="apple-style-span"/>
          <w:rFonts w:cs="Times New Roman"/>
          <w:color w:val="000000"/>
        </w:rPr>
        <w:t>Culture during the French Revolution</w:t>
      </w:r>
      <w:r w:rsidR="0058736C" w:rsidRPr="00FA4F65">
        <w:rPr>
          <w:rStyle w:val="apple-style-span"/>
          <w:rFonts w:cs="Times New Roman"/>
          <w:color w:val="000000"/>
        </w:rPr>
        <w:t xml:space="preserve"> generally</w:t>
      </w:r>
      <w:r w:rsidRPr="00FA4F65">
        <w:rPr>
          <w:rStyle w:val="apple-style-span"/>
          <w:rFonts w:cs="Times New Roman"/>
          <w:color w:val="000000"/>
        </w:rPr>
        <w:t xml:space="preserve"> be</w:t>
      </w:r>
      <w:r w:rsidR="009A2551" w:rsidRPr="00FA4F65">
        <w:rPr>
          <w:rStyle w:val="apple-style-span"/>
          <w:rFonts w:cs="Times New Roman"/>
          <w:color w:val="000000"/>
        </w:rPr>
        <w:t>came increasingly politicized</w:t>
      </w:r>
      <w:r w:rsidR="0058736C" w:rsidRPr="00FA4F65">
        <w:rPr>
          <w:rStyle w:val="apple-style-span"/>
          <w:rFonts w:cs="Times New Roman"/>
          <w:color w:val="000000"/>
        </w:rPr>
        <w:t xml:space="preserve"> therefore we must look at </w:t>
      </w:r>
      <w:r w:rsidR="00545716" w:rsidRPr="00FA4F65">
        <w:rPr>
          <w:rStyle w:val="apple-style-span"/>
          <w:rFonts w:cs="Times New Roman"/>
          <w:color w:val="000000"/>
        </w:rPr>
        <w:t>the ways in which convent theatre reflected revolutionary politics</w:t>
      </w:r>
      <w:r w:rsidR="009A2551" w:rsidRPr="00FA4F65">
        <w:rPr>
          <w:rStyle w:val="apple-style-span"/>
          <w:rFonts w:cs="Times New Roman"/>
          <w:color w:val="000000"/>
        </w:rPr>
        <w:t>.  T</w:t>
      </w:r>
      <w:r w:rsidRPr="00FA4F65">
        <w:rPr>
          <w:rStyle w:val="apple-style-span"/>
          <w:rFonts w:cs="Times New Roman"/>
          <w:color w:val="000000"/>
        </w:rPr>
        <w:t>he theatre became a means by which actors, writers and producers could ‘</w:t>
      </w:r>
      <w:r w:rsidRPr="00FA4F65">
        <w:rPr>
          <w:rFonts w:cs="Times New Roman"/>
        </w:rPr>
        <w:t>vouchsafe their revolutionary credentials</w:t>
      </w:r>
      <w:r w:rsidR="00001397" w:rsidRPr="00FA4F65">
        <w:rPr>
          <w:rFonts w:cs="Times New Roman"/>
        </w:rPr>
        <w:t>,</w:t>
      </w:r>
      <w:r w:rsidRPr="00FA4F65">
        <w:rPr>
          <w:rFonts w:cs="Times New Roman"/>
        </w:rPr>
        <w:t>’</w:t>
      </w:r>
      <w:r w:rsidRPr="00FA4F65">
        <w:rPr>
          <w:rStyle w:val="FootnoteReference"/>
          <w:rFonts w:cs="Times New Roman"/>
        </w:rPr>
        <w:footnoteReference w:id="23"/>
      </w:r>
      <w:r w:rsidRPr="00FA4F65">
        <w:rPr>
          <w:rFonts w:cs="Times New Roman"/>
        </w:rPr>
        <w:t xml:space="preserve"> es</w:t>
      </w:r>
      <w:r w:rsidR="0058736C" w:rsidRPr="00FA4F65">
        <w:rPr>
          <w:rFonts w:cs="Times New Roman"/>
        </w:rPr>
        <w:t>pecially during the Terror. I</w:t>
      </w:r>
      <w:r w:rsidR="005E343F" w:rsidRPr="00FA4F65">
        <w:rPr>
          <w:rFonts w:cs="Times New Roman"/>
        </w:rPr>
        <w:t>n terms of the plays’ content,</w:t>
      </w:r>
      <w:r w:rsidRPr="00FA4F65">
        <w:rPr>
          <w:rFonts w:cs="Times New Roman"/>
        </w:rPr>
        <w:t xml:space="preserve"> it would be difficult to argue</w:t>
      </w:r>
      <w:r w:rsidR="0058736C" w:rsidRPr="00FA4F65">
        <w:rPr>
          <w:rFonts w:cs="Times New Roman"/>
        </w:rPr>
        <w:t xml:space="preserve">, however, </w:t>
      </w:r>
      <w:r w:rsidRPr="00FA4F65">
        <w:rPr>
          <w:rFonts w:cs="Times New Roman"/>
        </w:rPr>
        <w:t xml:space="preserve">that </w:t>
      </w:r>
      <w:r w:rsidRPr="00FA4F65">
        <w:rPr>
          <w:rFonts w:cs="Times New Roman"/>
          <w:i/>
        </w:rPr>
        <w:t>Les Dragons et les Benedictines</w:t>
      </w:r>
      <w:r w:rsidRPr="00FA4F65">
        <w:rPr>
          <w:rFonts w:cs="Times New Roman"/>
        </w:rPr>
        <w:t xml:space="preserve"> was decidedly more radical than </w:t>
      </w:r>
      <w:r w:rsidRPr="00FA4F65">
        <w:rPr>
          <w:rFonts w:cs="Times New Roman"/>
          <w:i/>
        </w:rPr>
        <w:t>Les Victimes Cloitrées.</w:t>
      </w:r>
      <w:r w:rsidRPr="00FA4F65">
        <w:rPr>
          <w:rFonts w:cs="Times New Roman"/>
        </w:rPr>
        <w:t xml:space="preserve"> Hyslop explains that this</w:t>
      </w:r>
      <w:r w:rsidR="00A771A4" w:rsidRPr="00FA4F65">
        <w:rPr>
          <w:rFonts w:cs="Times New Roman"/>
        </w:rPr>
        <w:t xml:space="preserve"> lack of radicalisation</w:t>
      </w:r>
      <w:r w:rsidRPr="00FA4F65">
        <w:rPr>
          <w:rFonts w:cs="Times New Roman"/>
        </w:rPr>
        <w:t xml:space="preserve"> was </w:t>
      </w:r>
      <w:r w:rsidR="009A2551" w:rsidRPr="00FA4F65">
        <w:rPr>
          <w:rFonts w:cs="Times New Roman"/>
        </w:rPr>
        <w:t>n</w:t>
      </w:r>
      <w:r w:rsidR="00001397">
        <w:rPr>
          <w:rFonts w:cs="Times New Roman"/>
        </w:rPr>
        <w:t xml:space="preserve">ot limited to convent theatre. </w:t>
      </w:r>
      <w:r w:rsidR="009A2551" w:rsidRPr="00FA4F65">
        <w:rPr>
          <w:rFonts w:cs="Times New Roman"/>
        </w:rPr>
        <w:t>E</w:t>
      </w:r>
      <w:r w:rsidRPr="00FA4F65">
        <w:rPr>
          <w:rFonts w:cs="Times New Roman"/>
        </w:rPr>
        <w:t xml:space="preserve">ven during the Terror, the theatre was ‘moderate in tone… if one wished bloodshed and revenge against </w:t>
      </w:r>
      <w:r w:rsidRPr="00FA4F65">
        <w:rPr>
          <w:rFonts w:cs="Times New Roman"/>
          <w:i/>
        </w:rPr>
        <w:t>ci-devants</w:t>
      </w:r>
      <w:r w:rsidRPr="00FA4F65">
        <w:rPr>
          <w:rFonts w:cs="Times New Roman"/>
        </w:rPr>
        <w:t xml:space="preserve"> and priests, one could go to the Place de la Révolution or watch the victims of the guillotine’.</w:t>
      </w:r>
      <w:r w:rsidRPr="00FA4F65">
        <w:rPr>
          <w:rStyle w:val="FootnoteReference"/>
          <w:rFonts w:cs="Times New Roman"/>
        </w:rPr>
        <w:footnoteReference w:id="24"/>
      </w:r>
      <w:r w:rsidRPr="00FA4F65">
        <w:rPr>
          <w:rFonts w:cs="Times New Roman"/>
        </w:rPr>
        <w:t xml:space="preserve"> We also should consider that whilst we have the dates when the plays were first performed, we do not know </w:t>
      </w:r>
      <w:r w:rsidR="009A2551" w:rsidRPr="00FA4F65">
        <w:rPr>
          <w:rFonts w:cs="Times New Roman"/>
        </w:rPr>
        <w:t>when exactly they were written (</w:t>
      </w:r>
      <w:r w:rsidRPr="00FA4F65">
        <w:rPr>
          <w:rFonts w:cs="Times New Roman"/>
        </w:rPr>
        <w:t xml:space="preserve">with the exception of </w:t>
      </w:r>
      <w:r w:rsidR="005E343F" w:rsidRPr="00FA4F65">
        <w:rPr>
          <w:rFonts w:cs="Times New Roman"/>
          <w:i/>
        </w:rPr>
        <w:t xml:space="preserve">les </w:t>
      </w:r>
      <w:r w:rsidR="00545716" w:rsidRPr="00FA4F65">
        <w:rPr>
          <w:rFonts w:cs="Times New Roman"/>
          <w:i/>
        </w:rPr>
        <w:t>Visitandines</w:t>
      </w:r>
      <w:r w:rsidR="005E343F" w:rsidRPr="00FA4F65">
        <w:rPr>
          <w:rFonts w:cs="Times New Roman"/>
        </w:rPr>
        <w:t xml:space="preserve">: </w:t>
      </w:r>
      <w:r w:rsidRPr="00FA4F65">
        <w:rPr>
          <w:rFonts w:cs="Times New Roman"/>
        </w:rPr>
        <w:t xml:space="preserve">first submitted </w:t>
      </w:r>
      <w:r w:rsidRPr="00FA4F65">
        <w:rPr>
          <w:rStyle w:val="apple-style-span"/>
          <w:rFonts w:cs="Times New Roman"/>
          <w:color w:val="000000"/>
        </w:rPr>
        <w:t>in 1790 but only accepted in 1792</w:t>
      </w:r>
      <w:r w:rsidR="009A2551" w:rsidRPr="00FA4F65">
        <w:rPr>
          <w:rStyle w:val="apple-style-span"/>
          <w:rFonts w:cs="Times New Roman"/>
          <w:color w:val="000000"/>
        </w:rPr>
        <w:t>)</w:t>
      </w:r>
      <w:r w:rsidRPr="00FA4F65">
        <w:rPr>
          <w:rStyle w:val="apple-style-span"/>
          <w:rFonts w:cs="Times New Roman"/>
          <w:color w:val="000000"/>
        </w:rPr>
        <w:t xml:space="preserve">. </w:t>
      </w:r>
    </w:p>
    <w:p w:rsidR="00863F49" w:rsidRPr="00FA4F65" w:rsidRDefault="00001397" w:rsidP="00027B7F">
      <w:pPr>
        <w:spacing w:line="480" w:lineRule="auto"/>
        <w:ind w:firstLine="567"/>
        <w:jc w:val="both"/>
        <w:rPr>
          <w:rFonts w:cs="Times New Roman"/>
        </w:rPr>
      </w:pPr>
      <w:r w:rsidRPr="00001397">
        <w:rPr>
          <w:rFonts w:cs="Times New Roman"/>
        </w:rPr>
        <w:t>T</w:t>
      </w:r>
      <w:r>
        <w:rPr>
          <w:rFonts w:cs="Times New Roman"/>
        </w:rPr>
        <w:t xml:space="preserve">he theatre was revolutionary because it became accessible to people who had never attended before 1789. </w:t>
      </w:r>
      <w:r w:rsidRPr="00843D65">
        <w:rPr>
          <w:rFonts w:cs="Times New Roman"/>
          <w:i/>
          <w:lang w:val="fr-FR"/>
        </w:rPr>
        <w:t xml:space="preserve">Les Victimes cloitrées </w:t>
      </w:r>
      <w:r w:rsidRPr="00843D65">
        <w:rPr>
          <w:rFonts w:cs="Times New Roman"/>
          <w:lang w:val="fr-FR"/>
        </w:rPr>
        <w:t>was often performed for free, ‘“</w:t>
      </w:r>
      <w:r w:rsidRPr="00843D65">
        <w:rPr>
          <w:rFonts w:cs="Times New Roman"/>
          <w:i/>
          <w:lang w:val="fr-FR"/>
        </w:rPr>
        <w:t>par et pour le peuple</w:t>
      </w:r>
      <w:r w:rsidRPr="00843D65">
        <w:rPr>
          <w:rFonts w:cs="Times New Roman"/>
          <w:lang w:val="fr-FR"/>
        </w:rPr>
        <w:t>”’.</w:t>
      </w:r>
      <w:r w:rsidRPr="00FA4F65">
        <w:rPr>
          <w:rStyle w:val="FootnoteReference"/>
          <w:rFonts w:cs="Times New Roman"/>
        </w:rPr>
        <w:footnoteReference w:id="25"/>
      </w:r>
      <w:r w:rsidRPr="00843D65">
        <w:rPr>
          <w:rFonts w:cs="Times New Roman"/>
          <w:lang w:val="fr-FR"/>
        </w:rPr>
        <w:t xml:space="preserve"> </w:t>
      </w:r>
      <w:r w:rsidR="00863F49" w:rsidRPr="00FA4F65">
        <w:rPr>
          <w:rFonts w:cs="Times New Roman"/>
        </w:rPr>
        <w:t xml:space="preserve">Furthermore, the theatre became a tool for educating audiences on the Revolution and </w:t>
      </w:r>
      <w:r w:rsidR="003E7448" w:rsidRPr="00FA4F65">
        <w:rPr>
          <w:rFonts w:cs="Times New Roman"/>
        </w:rPr>
        <w:t>its ideology, particularly as</w:t>
      </w:r>
      <w:r w:rsidR="00863F49" w:rsidRPr="00FA4F65">
        <w:rPr>
          <w:rFonts w:cs="Times New Roman"/>
        </w:rPr>
        <w:t xml:space="preserve"> illiteracy remained widespread.</w:t>
      </w:r>
      <w:r w:rsidR="00843D65">
        <w:rPr>
          <w:rFonts w:cs="Times New Roman"/>
        </w:rPr>
        <w:t xml:space="preserve"> </w:t>
      </w:r>
      <w:r>
        <w:rPr>
          <w:rFonts w:cs="Times New Roman"/>
        </w:rPr>
        <w:t>A</w:t>
      </w:r>
      <w:r w:rsidR="00863F49" w:rsidRPr="00FA4F65">
        <w:rPr>
          <w:rStyle w:val="apple-style-span"/>
          <w:rFonts w:cs="Times New Roman"/>
          <w:color w:val="000000"/>
        </w:rPr>
        <w:t>s Maslan puts it, ‘the Revolution made politics into theater … in order to make the people into an audience that could be disciplined and repressed “by means of the spectacle”’.</w:t>
      </w:r>
      <w:r w:rsidR="00863F49" w:rsidRPr="00FA4F65">
        <w:rPr>
          <w:rStyle w:val="FootnoteReference"/>
          <w:rFonts w:cs="Times New Roman"/>
        </w:rPr>
        <w:footnoteReference w:id="26"/>
      </w:r>
      <w:r w:rsidR="003E7448" w:rsidRPr="00FA4F65">
        <w:rPr>
          <w:rFonts w:cs="Times New Roman"/>
        </w:rPr>
        <w:t xml:space="preserve"> </w:t>
      </w:r>
      <w:r w:rsidR="0058736C" w:rsidRPr="00FA4F65">
        <w:rPr>
          <w:rFonts w:cs="Times New Roman"/>
        </w:rPr>
        <w:t>This therefore stresses</w:t>
      </w:r>
      <w:r w:rsidR="003E7448" w:rsidRPr="00FA4F65">
        <w:rPr>
          <w:rFonts w:cs="Times New Roman"/>
        </w:rPr>
        <w:t xml:space="preserve"> the si</w:t>
      </w:r>
      <w:r w:rsidR="00863F49" w:rsidRPr="00FA4F65">
        <w:rPr>
          <w:rFonts w:cs="Times New Roman"/>
        </w:rPr>
        <w:t>gnificance of Revolutionary rhetoric:</w:t>
      </w:r>
    </w:p>
    <w:p w:rsidR="00863F49" w:rsidRPr="00FA4F65" w:rsidRDefault="00863F49" w:rsidP="00C10F99">
      <w:pPr>
        <w:spacing w:line="480" w:lineRule="auto"/>
        <w:ind w:left="567" w:right="521"/>
        <w:jc w:val="both"/>
        <w:rPr>
          <w:rFonts w:cs="Times New Roman"/>
        </w:rPr>
      </w:pPr>
      <w:r w:rsidRPr="00FA4F65">
        <w:rPr>
          <w:rFonts w:cs="Times New Roman"/>
        </w:rPr>
        <w:t xml:space="preserve">An instrument of political and social change… The language itself helped shape the perception of interests and hence the development of ideologies… revolutionary political discourse was rhetorical; it was a means of persuasion, a way of reconstituting the social and political world. </w:t>
      </w:r>
      <w:r w:rsidRPr="00FA4F65">
        <w:rPr>
          <w:rStyle w:val="FootnoteReference"/>
          <w:rFonts w:cs="Times New Roman"/>
        </w:rPr>
        <w:footnoteReference w:id="27"/>
      </w:r>
    </w:p>
    <w:p w:rsidR="00863F49" w:rsidRPr="00FA4F65" w:rsidRDefault="0058736C" w:rsidP="00C10F99">
      <w:pPr>
        <w:spacing w:line="480" w:lineRule="auto"/>
        <w:jc w:val="both"/>
        <w:rPr>
          <w:rFonts w:cs="Times New Roman"/>
          <w:u w:val="single"/>
        </w:rPr>
      </w:pPr>
      <w:r w:rsidRPr="00FA4F65">
        <w:rPr>
          <w:rFonts w:cs="Times New Roman"/>
        </w:rPr>
        <w:t>We should, therefore, consider the key elements of Revolutionary ideology</w:t>
      </w:r>
      <w:r w:rsidR="0070061A" w:rsidRPr="00FA4F65">
        <w:rPr>
          <w:rFonts w:cs="Times New Roman"/>
        </w:rPr>
        <w:t xml:space="preserve"> –</w:t>
      </w:r>
      <w:r w:rsidR="00863F49" w:rsidRPr="00FA4F65">
        <w:rPr>
          <w:rFonts w:cs="Times New Roman"/>
        </w:rPr>
        <w:t xml:space="preserve"> </w:t>
      </w:r>
      <w:r w:rsidR="00863F49" w:rsidRPr="00FA4F65">
        <w:rPr>
          <w:rFonts w:cs="Times New Roman"/>
          <w:i/>
        </w:rPr>
        <w:t xml:space="preserve">vertu, egalité, fraternité </w:t>
      </w:r>
      <w:r w:rsidR="00863F49" w:rsidRPr="00FA4F65">
        <w:rPr>
          <w:rFonts w:cs="Times New Roman"/>
        </w:rPr>
        <w:t xml:space="preserve">and </w:t>
      </w:r>
      <w:r w:rsidR="0070061A" w:rsidRPr="00FA4F65">
        <w:rPr>
          <w:rFonts w:cs="Times New Roman"/>
          <w:i/>
        </w:rPr>
        <w:t>liberté –</w:t>
      </w:r>
      <w:r w:rsidRPr="00FA4F65">
        <w:rPr>
          <w:rFonts w:cs="Times New Roman"/>
          <w:i/>
        </w:rPr>
        <w:t xml:space="preserve"> </w:t>
      </w:r>
      <w:r w:rsidRPr="00FA4F65">
        <w:rPr>
          <w:rFonts w:cs="Times New Roman"/>
        </w:rPr>
        <w:t>and</w:t>
      </w:r>
      <w:r w:rsidR="0070061A" w:rsidRPr="00FA4F65">
        <w:rPr>
          <w:rFonts w:cs="Times New Roman"/>
        </w:rPr>
        <w:t xml:space="preserve"> </w:t>
      </w:r>
      <w:r w:rsidRPr="00FA4F65">
        <w:rPr>
          <w:rFonts w:cs="Times New Roman"/>
        </w:rPr>
        <w:t xml:space="preserve">how they were promoted in </w:t>
      </w:r>
      <w:r w:rsidR="00545716" w:rsidRPr="00FA4F65">
        <w:rPr>
          <w:rFonts w:cs="Times New Roman"/>
        </w:rPr>
        <w:t>c</w:t>
      </w:r>
      <w:r w:rsidRPr="00FA4F65">
        <w:rPr>
          <w:rFonts w:cs="Times New Roman"/>
        </w:rPr>
        <w:t>onvent theatre.</w:t>
      </w:r>
      <w:r w:rsidR="00863F49" w:rsidRPr="00FA4F65">
        <w:rPr>
          <w:rFonts w:cs="Times New Roman"/>
          <w:i/>
        </w:rPr>
        <w:t xml:space="preserve"> </w:t>
      </w:r>
    </w:p>
    <w:p w:rsidR="0091667E" w:rsidRPr="00FA4F65" w:rsidRDefault="0091667E" w:rsidP="00267BB3">
      <w:pPr>
        <w:spacing w:line="480" w:lineRule="auto"/>
        <w:ind w:firstLine="567"/>
        <w:jc w:val="both"/>
        <w:rPr>
          <w:rFonts w:cs="Times New Roman"/>
        </w:rPr>
      </w:pPr>
      <w:r w:rsidRPr="00FA4F65">
        <w:rPr>
          <w:rFonts w:cs="Times New Roman"/>
        </w:rPr>
        <w:t xml:space="preserve">The French Revolution was a period of increasingly radical idealism, the peak of which was during </w:t>
      </w:r>
      <w:r w:rsidR="00282A16" w:rsidRPr="00FA4F65">
        <w:rPr>
          <w:rFonts w:cs="Times New Roman"/>
        </w:rPr>
        <w:t>the Terror. Robespierre</w:t>
      </w:r>
      <w:r w:rsidRPr="00FA4F65">
        <w:rPr>
          <w:rFonts w:cs="Times New Roman"/>
        </w:rPr>
        <w:t xml:space="preserve"> himself was known as </w:t>
      </w:r>
      <w:r w:rsidRPr="00FA4F65">
        <w:rPr>
          <w:rFonts w:cs="Times New Roman"/>
          <w:i/>
        </w:rPr>
        <w:t>l’Incorruptible</w:t>
      </w:r>
      <w:r w:rsidRPr="00FA4F65">
        <w:rPr>
          <w:rFonts w:cs="Times New Roman"/>
        </w:rPr>
        <w:t xml:space="preserve"> for his dedication to Jacobin ideology and strict moral codes. Indeed, Ozouf suggests that the Revolution was seen as a period of rebirth, «</w:t>
      </w:r>
      <w:r w:rsidR="007A4C9D" w:rsidRPr="00FA4F65">
        <w:rPr>
          <w:rFonts w:cs="Times New Roman"/>
          <w:i/>
        </w:rPr>
        <w:t> </w:t>
      </w:r>
      <w:r w:rsidRPr="00FA4F65">
        <w:rPr>
          <w:rFonts w:cs="Times New Roman"/>
          <w:i/>
        </w:rPr>
        <w:t>la reconstitution d’une nouvelle innocence, la recreation d’un nouvel Adam</w:t>
      </w:r>
      <w:r w:rsidR="007A4C9D" w:rsidRPr="00FA4F65">
        <w:rPr>
          <w:rFonts w:cs="Times New Roman"/>
          <w:i/>
        </w:rPr>
        <w:t> </w:t>
      </w:r>
      <w:r w:rsidRPr="00FA4F65">
        <w:rPr>
          <w:rFonts w:cs="Times New Roman"/>
          <w:i/>
        </w:rPr>
        <w:t>»</w:t>
      </w:r>
      <w:r w:rsidRPr="00FA4F65">
        <w:rPr>
          <w:rFonts w:cs="Times New Roman"/>
        </w:rPr>
        <w:t>.</w:t>
      </w:r>
      <w:r w:rsidRPr="00FA4F65">
        <w:rPr>
          <w:rStyle w:val="FootnoteReference"/>
          <w:rFonts w:cs="Times New Roman"/>
        </w:rPr>
        <w:footnoteReference w:id="28"/>
      </w:r>
      <w:r w:rsidRPr="00FA4F65">
        <w:rPr>
          <w:rFonts w:cs="Times New Roman"/>
        </w:rPr>
        <w:t xml:space="preserve"> We can therefore understand the emphasis placed on the most morally upright, virtuous characters</w:t>
      </w:r>
      <w:r w:rsidR="00282A16" w:rsidRPr="00FA4F65">
        <w:rPr>
          <w:rFonts w:cs="Times New Roman"/>
        </w:rPr>
        <w:t xml:space="preserve"> in convent plays.</w:t>
      </w:r>
      <w:r w:rsidRPr="00FA4F65">
        <w:rPr>
          <w:rFonts w:cs="Times New Roman"/>
        </w:rPr>
        <w:t xml:space="preserve"> </w:t>
      </w:r>
      <w:r w:rsidRPr="00FA4F65">
        <w:rPr>
          <w:rFonts w:cs="Times New Roman"/>
          <w:i/>
        </w:rPr>
        <w:t xml:space="preserve">Les Victimes Cloitrées, </w:t>
      </w:r>
      <w:r w:rsidR="00282A16" w:rsidRPr="00FA4F65">
        <w:rPr>
          <w:rFonts w:cs="Times New Roman"/>
        </w:rPr>
        <w:t>has</w:t>
      </w:r>
      <w:r w:rsidRPr="00FA4F65">
        <w:rPr>
          <w:rFonts w:cs="Times New Roman"/>
        </w:rPr>
        <w:t xml:space="preserve"> M. de Francheville and </w:t>
      </w:r>
      <w:r w:rsidRPr="00FA4F65">
        <w:rPr>
          <w:rFonts w:cs="Times New Roman"/>
          <w:i/>
        </w:rPr>
        <w:t xml:space="preserve">Le Père Louis, </w:t>
      </w:r>
      <w:r w:rsidRPr="00FA4F65">
        <w:rPr>
          <w:rFonts w:cs="Times New Roman"/>
        </w:rPr>
        <w:t xml:space="preserve">both referred to as </w:t>
      </w:r>
      <w:r w:rsidRPr="00FA4F65">
        <w:rPr>
          <w:rFonts w:cs="Times New Roman"/>
          <w:i/>
        </w:rPr>
        <w:t>«</w:t>
      </w:r>
      <w:r w:rsidR="00B16137" w:rsidRPr="00FA4F65">
        <w:rPr>
          <w:rFonts w:cs="Times New Roman"/>
          <w:i/>
        </w:rPr>
        <w:t> </w:t>
      </w:r>
      <w:r w:rsidRPr="00FA4F65">
        <w:rPr>
          <w:rFonts w:cs="Times New Roman"/>
          <w:i/>
        </w:rPr>
        <w:t>honnê</w:t>
      </w:r>
      <w:r w:rsidR="00B16137" w:rsidRPr="00FA4F65">
        <w:rPr>
          <w:rFonts w:cs="Times New Roman"/>
          <w:i/>
        </w:rPr>
        <w:t>te-homme[s] </w:t>
      </w:r>
      <w:r w:rsidRPr="00FA4F65">
        <w:rPr>
          <w:rFonts w:cs="Times New Roman"/>
          <w:i/>
        </w:rPr>
        <w:t>»</w:t>
      </w:r>
      <w:r w:rsidR="0070061A" w:rsidRPr="00FA4F65">
        <w:rPr>
          <w:rFonts w:cs="Times New Roman"/>
          <w:i/>
        </w:rPr>
        <w:t>,</w:t>
      </w:r>
      <w:r w:rsidR="0070061A" w:rsidRPr="00FA4F65">
        <w:rPr>
          <w:rFonts w:cs="Times New Roman"/>
        </w:rPr>
        <w:t xml:space="preserve"> a compliment of the highest regard</w:t>
      </w:r>
      <w:r w:rsidRPr="00FA4F65">
        <w:rPr>
          <w:rFonts w:cs="Times New Roman"/>
          <w:i/>
        </w:rPr>
        <w:t>.</w:t>
      </w:r>
      <w:r w:rsidRPr="00FA4F65">
        <w:rPr>
          <w:rStyle w:val="FootnoteReference"/>
          <w:rFonts w:cs="Times New Roman"/>
        </w:rPr>
        <w:footnoteReference w:id="29"/>
      </w:r>
      <w:r w:rsidR="00B820F0" w:rsidRPr="00FA4F65">
        <w:rPr>
          <w:rFonts w:cs="Times New Roman"/>
        </w:rPr>
        <w:t xml:space="preserve"> In particular, working for the state is portrayed as </w:t>
      </w:r>
      <w:r w:rsidR="00B820F0" w:rsidRPr="00FA4F65">
        <w:rPr>
          <w:rFonts w:cs="Times New Roman"/>
          <w:i/>
        </w:rPr>
        <w:t>« une distinction aussi honourable</w:t>
      </w:r>
      <w:r w:rsidR="007A4C9D" w:rsidRPr="00FA4F65">
        <w:rPr>
          <w:rFonts w:cs="Times New Roman"/>
          <w:i/>
        </w:rPr>
        <w:t> </w:t>
      </w:r>
      <w:r w:rsidR="00B820F0" w:rsidRPr="00FA4F65">
        <w:rPr>
          <w:rFonts w:cs="Times New Roman"/>
          <w:i/>
        </w:rPr>
        <w:t>»</w:t>
      </w:r>
      <w:r w:rsidR="00C265A7">
        <w:rPr>
          <w:rFonts w:cs="Times New Roman"/>
        </w:rPr>
        <w:t xml:space="preserve">, both praising and promoting the </w:t>
      </w:r>
      <w:r w:rsidR="00001397">
        <w:rPr>
          <w:rFonts w:cs="Times New Roman"/>
        </w:rPr>
        <w:t xml:space="preserve">efforts </w:t>
      </w:r>
      <w:r w:rsidR="00C265A7">
        <w:rPr>
          <w:rFonts w:cs="Times New Roman"/>
        </w:rPr>
        <w:t>of Revolutionaries</w:t>
      </w:r>
      <w:r w:rsidR="00B820F0" w:rsidRPr="00FA4F65">
        <w:rPr>
          <w:rFonts w:cs="Times New Roman"/>
          <w:i/>
        </w:rPr>
        <w:t>.</w:t>
      </w:r>
      <w:r w:rsidR="00B820F0" w:rsidRPr="00FA4F65">
        <w:rPr>
          <w:rStyle w:val="FootnoteReference"/>
          <w:rFonts w:cs="Times New Roman"/>
          <w:lang w:val="fr-FR"/>
        </w:rPr>
        <w:footnoteReference w:id="30"/>
      </w:r>
      <w:r w:rsidR="00DA0656" w:rsidRPr="00FA4F65">
        <w:rPr>
          <w:rFonts w:cs="Times New Roman"/>
          <w:i/>
        </w:rPr>
        <w:t xml:space="preserve"> </w:t>
      </w:r>
      <w:r w:rsidR="0070061A" w:rsidRPr="00FA4F65">
        <w:rPr>
          <w:rFonts w:cs="Times New Roman"/>
        </w:rPr>
        <w:t xml:space="preserve">Moreover, </w:t>
      </w:r>
      <w:r w:rsidR="00DA0656" w:rsidRPr="00FA4F65">
        <w:rPr>
          <w:rFonts w:cs="Times New Roman"/>
        </w:rPr>
        <w:t xml:space="preserve">Hyslop highlights the indulgent tone of </w:t>
      </w:r>
      <w:r w:rsidR="00DA0656" w:rsidRPr="00FA4F65">
        <w:rPr>
          <w:rFonts w:cs="Times New Roman"/>
          <w:i/>
        </w:rPr>
        <w:t>Les Dragons et les Benedictines</w:t>
      </w:r>
      <w:r w:rsidR="00DA0656" w:rsidRPr="00FA4F65">
        <w:rPr>
          <w:rFonts w:cs="Times New Roman"/>
        </w:rPr>
        <w:t xml:space="preserve"> towards soldiers, who had fought bravely defending France</w:t>
      </w:r>
      <w:r w:rsidR="00C265A7">
        <w:rPr>
          <w:rFonts w:cs="Times New Roman"/>
        </w:rPr>
        <w:t xml:space="preserve"> in the</w:t>
      </w:r>
      <w:r w:rsidR="00001397">
        <w:rPr>
          <w:rFonts w:cs="Times New Roman"/>
        </w:rPr>
        <w:t xml:space="preserve"> on-going revolutionary wars</w:t>
      </w:r>
      <w:r w:rsidR="00DA0656" w:rsidRPr="00FA4F65">
        <w:rPr>
          <w:rFonts w:cs="Times New Roman"/>
        </w:rPr>
        <w:t>.</w:t>
      </w:r>
      <w:r w:rsidR="00DA0656" w:rsidRPr="00FA4F65">
        <w:rPr>
          <w:rStyle w:val="FootnoteReference"/>
          <w:rFonts w:cs="Times New Roman"/>
        </w:rPr>
        <w:footnoteReference w:id="31"/>
      </w:r>
      <w:r w:rsidR="00DA0656" w:rsidRPr="00FA4F65">
        <w:rPr>
          <w:rFonts w:cs="Times New Roman"/>
        </w:rPr>
        <w:t xml:space="preserve"> </w:t>
      </w:r>
      <w:r w:rsidRPr="00FA4F65">
        <w:rPr>
          <w:rFonts w:cs="Times New Roman"/>
        </w:rPr>
        <w:t xml:space="preserve">The audience’s admiration of </w:t>
      </w:r>
      <w:r w:rsidRPr="00FA4F65">
        <w:rPr>
          <w:rFonts w:cs="Times New Roman"/>
          <w:i/>
        </w:rPr>
        <w:t>Le Père Louis</w:t>
      </w:r>
      <w:r w:rsidRPr="00FA4F65">
        <w:rPr>
          <w:rFonts w:cs="Times New Roman"/>
        </w:rPr>
        <w:t xml:space="preserve"> comes not only through his act</w:t>
      </w:r>
      <w:r w:rsidR="003E7448" w:rsidRPr="00FA4F65">
        <w:rPr>
          <w:rFonts w:cs="Times New Roman"/>
        </w:rPr>
        <w:t>ion</w:t>
      </w:r>
      <w:r w:rsidRPr="00FA4F65">
        <w:rPr>
          <w:rFonts w:cs="Times New Roman"/>
        </w:rPr>
        <w:t xml:space="preserve">s, but his modesty: </w:t>
      </w:r>
    </w:p>
    <w:p w:rsidR="0091667E" w:rsidRPr="00FA4F65" w:rsidRDefault="0091667E" w:rsidP="00C10F99">
      <w:pPr>
        <w:spacing w:line="480" w:lineRule="auto"/>
        <w:ind w:left="567" w:right="521"/>
        <w:jc w:val="both"/>
        <w:rPr>
          <w:rFonts w:cs="Times New Roman"/>
          <w:lang w:val="fr-FR"/>
        </w:rPr>
      </w:pPr>
      <w:r w:rsidRPr="00FA4F65">
        <w:rPr>
          <w:rFonts w:cs="Times New Roman"/>
          <w:i/>
          <w:lang w:val="fr-FR"/>
        </w:rPr>
        <w:t>J’ai protégé l’innocence, j’ai défendu la cause de l’humanité, j’ai fait mon devoir et je suis récompensé.</w:t>
      </w:r>
      <w:r w:rsidRPr="00FA4F65">
        <w:rPr>
          <w:rStyle w:val="FootnoteReference"/>
          <w:rFonts w:cs="Times New Roman"/>
          <w:lang w:val="fr-FR"/>
        </w:rPr>
        <w:footnoteReference w:id="32"/>
      </w:r>
    </w:p>
    <w:p w:rsidR="00B820F0" w:rsidRPr="00FA4F65" w:rsidRDefault="00282A16" w:rsidP="00C10F99">
      <w:pPr>
        <w:spacing w:line="480" w:lineRule="auto"/>
        <w:jc w:val="both"/>
        <w:rPr>
          <w:rFonts w:cs="Times New Roman"/>
        </w:rPr>
      </w:pPr>
      <w:r w:rsidRPr="00FA4F65">
        <w:rPr>
          <w:rFonts w:cs="Times New Roman"/>
        </w:rPr>
        <w:t>Many revolutio</w:t>
      </w:r>
      <w:r w:rsidR="003E7448" w:rsidRPr="00FA4F65">
        <w:rPr>
          <w:rFonts w:cs="Times New Roman"/>
        </w:rPr>
        <w:t xml:space="preserve">nary ideals </w:t>
      </w:r>
      <w:r w:rsidR="0070061A" w:rsidRPr="00FA4F65">
        <w:rPr>
          <w:rFonts w:cs="Times New Roman"/>
        </w:rPr>
        <w:t>(defence, humanity, innocence) are depicted; t</w:t>
      </w:r>
      <w:r w:rsidR="00B820F0" w:rsidRPr="00FA4F65">
        <w:rPr>
          <w:rFonts w:cs="Times New Roman"/>
        </w:rPr>
        <w:t xml:space="preserve">he repetition of </w:t>
      </w:r>
      <w:r w:rsidR="005E7319" w:rsidRPr="00FA4F65">
        <w:rPr>
          <w:rFonts w:cs="Times New Roman"/>
          <w:i/>
        </w:rPr>
        <w:t>«</w:t>
      </w:r>
      <w:r w:rsidR="00802867" w:rsidRPr="00FA4F65">
        <w:rPr>
          <w:rFonts w:cs="Times New Roman"/>
          <w:i/>
        </w:rPr>
        <w:t> </w:t>
      </w:r>
      <w:r w:rsidR="00B820F0" w:rsidRPr="00FA4F65">
        <w:rPr>
          <w:rFonts w:cs="Times New Roman"/>
          <w:i/>
        </w:rPr>
        <w:t>j’ai</w:t>
      </w:r>
      <w:r w:rsidR="00802867" w:rsidRPr="00FA4F65">
        <w:rPr>
          <w:rFonts w:cs="Times New Roman"/>
          <w:i/>
        </w:rPr>
        <w:t> </w:t>
      </w:r>
      <w:r w:rsidR="005E7319" w:rsidRPr="00FA4F65">
        <w:rPr>
          <w:rFonts w:cs="Times New Roman"/>
          <w:i/>
        </w:rPr>
        <w:t>»</w:t>
      </w:r>
      <w:r w:rsidRPr="00FA4F65">
        <w:rPr>
          <w:rFonts w:cs="Times New Roman"/>
        </w:rPr>
        <w:t xml:space="preserve"> increases to pace to create a fervour:</w:t>
      </w:r>
      <w:r w:rsidR="00B820F0" w:rsidRPr="00FA4F65">
        <w:rPr>
          <w:rFonts w:cs="Times New Roman"/>
        </w:rPr>
        <w:t xml:space="preserve"> one can imagine the cheers from the audience. </w:t>
      </w:r>
      <w:r w:rsidR="00E95339">
        <w:rPr>
          <w:rFonts w:cs="Times New Roman"/>
        </w:rPr>
        <w:t xml:space="preserve">In many ways, he appears to depict what the revolutionaries would like to think of themselves. </w:t>
      </w:r>
      <w:r w:rsidR="0070061A" w:rsidRPr="00FA4F65">
        <w:rPr>
          <w:rFonts w:cs="Times New Roman"/>
        </w:rPr>
        <w:t>It should be noted however that</w:t>
      </w:r>
      <w:r w:rsidR="003E7448" w:rsidRPr="00FA4F65">
        <w:rPr>
          <w:rFonts w:cs="Times New Roman"/>
        </w:rPr>
        <w:t xml:space="preserve"> this acclamation to a </w:t>
      </w:r>
      <w:r w:rsidR="00511026">
        <w:rPr>
          <w:rFonts w:cs="Times New Roman"/>
        </w:rPr>
        <w:t>member of the clergy</w:t>
      </w:r>
      <w:r w:rsidR="003E7448" w:rsidRPr="00FA4F65">
        <w:rPr>
          <w:rFonts w:cs="Times New Roman"/>
        </w:rPr>
        <w:t xml:space="preserve"> suggests</w:t>
      </w:r>
      <w:r w:rsidRPr="00FA4F65">
        <w:rPr>
          <w:rFonts w:cs="Times New Roman"/>
        </w:rPr>
        <w:t xml:space="preserve"> </w:t>
      </w:r>
      <w:r w:rsidR="006B1F5D" w:rsidRPr="00FA4F65">
        <w:rPr>
          <w:rFonts w:cs="Times New Roman"/>
        </w:rPr>
        <w:t xml:space="preserve">the plays </w:t>
      </w:r>
      <w:r w:rsidR="00001397">
        <w:rPr>
          <w:rFonts w:cs="Times New Roman"/>
        </w:rPr>
        <w:t>cannot</w:t>
      </w:r>
      <w:r w:rsidR="006B1F5D" w:rsidRPr="00FA4F65">
        <w:rPr>
          <w:rFonts w:cs="Times New Roman"/>
        </w:rPr>
        <w:t xml:space="preserve"> reflect the Revolution’s radical anticlericalism. </w:t>
      </w:r>
    </w:p>
    <w:p w:rsidR="00B820F0" w:rsidRPr="00FA4F65" w:rsidRDefault="00F50109" w:rsidP="00545716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  <w:i/>
          <w:lang w:val="fr-FR"/>
        </w:rPr>
        <w:t>«</w:t>
      </w:r>
      <w:r w:rsidR="007A4C9D" w:rsidRPr="00FA4F65">
        <w:rPr>
          <w:rFonts w:cs="Times New Roman"/>
          <w:i/>
          <w:lang w:val="fr-FR"/>
        </w:rPr>
        <w:t> </w:t>
      </w:r>
      <w:r w:rsidRPr="00FA4F65">
        <w:rPr>
          <w:rFonts w:cs="Times New Roman"/>
          <w:i/>
          <w:lang w:val="fr-FR"/>
        </w:rPr>
        <w:t>Vivent les dragons pour convertir les nonnes</w:t>
      </w:r>
      <w:r w:rsidR="007A4C9D" w:rsidRPr="00FA4F65">
        <w:rPr>
          <w:rFonts w:cs="Times New Roman"/>
          <w:i/>
          <w:lang w:val="fr-FR"/>
        </w:rPr>
        <w:t> </w:t>
      </w:r>
      <w:r w:rsidRPr="00FA4F65">
        <w:rPr>
          <w:rFonts w:cs="Times New Roman"/>
          <w:i/>
          <w:lang w:val="fr-FR"/>
        </w:rPr>
        <w:t>»</w:t>
      </w:r>
      <w:r w:rsidRPr="00FA4F65">
        <w:rPr>
          <w:rFonts w:cs="Times New Roman"/>
          <w:lang w:val="fr-FR"/>
        </w:rPr>
        <w:t xml:space="preserve"> declares the Captain in </w:t>
      </w:r>
      <w:r w:rsidRPr="00FA4F65">
        <w:rPr>
          <w:rFonts w:cs="Times New Roman"/>
          <w:i/>
          <w:lang w:val="fr-FR"/>
        </w:rPr>
        <w:t xml:space="preserve">Les Dragons et les </w:t>
      </w:r>
      <w:r w:rsidR="00545716" w:rsidRPr="00FA4F65">
        <w:rPr>
          <w:rFonts w:cs="Times New Roman"/>
          <w:i/>
          <w:lang w:val="fr-FR"/>
        </w:rPr>
        <w:t>Bénédictines</w:t>
      </w:r>
      <w:r w:rsidRPr="00FA4F65">
        <w:rPr>
          <w:rFonts w:cs="Times New Roman"/>
          <w:lang w:val="fr-FR"/>
        </w:rPr>
        <w:t>.</w:t>
      </w:r>
      <w:r w:rsidRPr="00FA4F65">
        <w:rPr>
          <w:rStyle w:val="FootnoteReference"/>
          <w:rFonts w:cs="Times New Roman"/>
          <w:lang w:val="fr-FR"/>
        </w:rPr>
        <w:footnoteReference w:id="33"/>
      </w:r>
      <w:r w:rsidR="003E7448" w:rsidRPr="00FA4F65">
        <w:rPr>
          <w:rFonts w:cs="Times New Roman"/>
          <w:lang w:val="fr-FR"/>
        </w:rPr>
        <w:t xml:space="preserve"> </w:t>
      </w:r>
      <w:r w:rsidR="0070061A" w:rsidRPr="00FA4F65">
        <w:rPr>
          <w:rFonts w:cs="Times New Roman"/>
        </w:rPr>
        <w:t>Convent theatre provided a popular scenario</w:t>
      </w:r>
      <w:r w:rsidR="00C92027" w:rsidRPr="00FA4F65">
        <w:rPr>
          <w:rFonts w:cs="Times New Roman"/>
        </w:rPr>
        <w:t xml:space="preserve"> with a “moral” cause</w:t>
      </w:r>
      <w:r w:rsidR="0070061A" w:rsidRPr="00FA4F65">
        <w:rPr>
          <w:rFonts w:cs="Times New Roman"/>
        </w:rPr>
        <w:t xml:space="preserve"> where Revolutionary officials could play the heroes. ‘The dramaturgy of these plays constructs a heroine for whom the audience is to feel pity and a hero with whom the audience is to identify; [we can therefore assume] … the target audience is male.’</w:t>
      </w:r>
      <w:r w:rsidR="0070061A" w:rsidRPr="00FA4F65">
        <w:rPr>
          <w:rStyle w:val="FootnoteReference"/>
          <w:rFonts w:cs="Times New Roman"/>
        </w:rPr>
        <w:footnoteReference w:id="34"/>
      </w:r>
      <w:r w:rsidR="0070061A" w:rsidRPr="00FA4F65">
        <w:rPr>
          <w:rFonts w:cs="Times New Roman"/>
        </w:rPr>
        <w:t xml:space="preserve"> </w:t>
      </w:r>
      <w:r w:rsidR="0070061A" w:rsidRPr="00FA4F65">
        <w:rPr>
          <w:rFonts w:cs="Times New Roman"/>
          <w:i/>
        </w:rPr>
        <w:t xml:space="preserve">Le Couvent </w:t>
      </w:r>
      <w:r w:rsidR="0070061A" w:rsidRPr="00FA4F65">
        <w:rPr>
          <w:rFonts w:cs="Times New Roman"/>
        </w:rPr>
        <w:t xml:space="preserve">and </w:t>
      </w:r>
      <w:r w:rsidR="0070061A" w:rsidRPr="00FA4F65">
        <w:rPr>
          <w:rFonts w:cs="Times New Roman"/>
          <w:i/>
        </w:rPr>
        <w:t>Les Victimes Cloitrées</w:t>
      </w:r>
      <w:r w:rsidR="0070061A" w:rsidRPr="00FA4F65">
        <w:rPr>
          <w:rFonts w:cs="Times New Roman"/>
        </w:rPr>
        <w:t xml:space="preserve"> end with soldiers saving the heroines from their cloistered fate. Such scenes would remind the audience of the victory of enlightenment thought.</w:t>
      </w:r>
      <w:r w:rsidR="0070061A" w:rsidRPr="00FA4F65">
        <w:rPr>
          <w:rStyle w:val="FootnoteReference"/>
          <w:rFonts w:cs="Times New Roman"/>
        </w:rPr>
        <w:footnoteReference w:id="35"/>
      </w:r>
      <w:r w:rsidR="0070061A" w:rsidRPr="00FA4F65">
        <w:rPr>
          <w:rFonts w:cs="Times New Roman"/>
        </w:rPr>
        <w:t xml:space="preserve"> </w:t>
      </w:r>
      <w:r w:rsidR="003E7448" w:rsidRPr="00FA4F65">
        <w:rPr>
          <w:rFonts w:cs="Times New Roman"/>
        </w:rPr>
        <w:t>‘R</w:t>
      </w:r>
      <w:r w:rsidR="00905140" w:rsidRPr="00FA4F65">
        <w:rPr>
          <w:rFonts w:cs="Times New Roman"/>
        </w:rPr>
        <w:t xml:space="preserve">evolutionary deputies were </w:t>
      </w:r>
      <w:r w:rsidR="003E7448" w:rsidRPr="00FA4F65">
        <w:rPr>
          <w:rFonts w:cs="Times New Roman"/>
        </w:rPr>
        <w:t>considered “benefactors” and “liberators</w:t>
      </w:r>
      <w:r w:rsidR="000652FD" w:rsidRPr="00FA4F65">
        <w:rPr>
          <w:rFonts w:cs="Times New Roman"/>
        </w:rPr>
        <w:t>”’</w:t>
      </w:r>
      <w:r w:rsidRPr="00FA4F65">
        <w:rPr>
          <w:rStyle w:val="FootnoteReference"/>
          <w:rFonts w:cs="Times New Roman"/>
        </w:rPr>
        <w:t xml:space="preserve"> </w:t>
      </w:r>
      <w:r w:rsidRPr="00FA4F65">
        <w:rPr>
          <w:rStyle w:val="FootnoteReference"/>
          <w:rFonts w:cs="Times New Roman"/>
        </w:rPr>
        <w:footnoteReference w:id="36"/>
      </w:r>
      <w:r w:rsidRPr="00FA4F65">
        <w:rPr>
          <w:rFonts w:cs="Times New Roman"/>
        </w:rPr>
        <w:t xml:space="preserve"> </w:t>
      </w:r>
      <w:r w:rsidR="009113EF" w:rsidRPr="00FA4F65">
        <w:rPr>
          <w:rFonts w:cs="Times New Roman"/>
        </w:rPr>
        <w:t xml:space="preserve">who would save </w:t>
      </w:r>
      <w:r w:rsidR="000652FD" w:rsidRPr="00FA4F65">
        <w:rPr>
          <w:rFonts w:cs="Times New Roman"/>
        </w:rPr>
        <w:t xml:space="preserve">the nuns from </w:t>
      </w:r>
      <w:r w:rsidRPr="00FA4F65">
        <w:rPr>
          <w:rFonts w:cs="Times New Roman"/>
        </w:rPr>
        <w:t>their</w:t>
      </w:r>
      <w:r w:rsidR="002A71A8" w:rsidRPr="00FA4F65">
        <w:rPr>
          <w:rFonts w:cs="Times New Roman"/>
        </w:rPr>
        <w:t xml:space="preserve"> despotic </w:t>
      </w:r>
      <w:r w:rsidR="00905140" w:rsidRPr="00FA4F65">
        <w:rPr>
          <w:rFonts w:cs="Times New Roman"/>
        </w:rPr>
        <w:t>institution</w:t>
      </w:r>
      <w:r w:rsidR="003E7448" w:rsidRPr="00FA4F65">
        <w:rPr>
          <w:rFonts w:cs="Times New Roman"/>
        </w:rPr>
        <w:t>s</w:t>
      </w:r>
      <w:r w:rsidR="00905140" w:rsidRPr="00FA4F65">
        <w:rPr>
          <w:rFonts w:cs="Times New Roman"/>
        </w:rPr>
        <w:t xml:space="preserve"> </w:t>
      </w:r>
      <w:r w:rsidRPr="00FA4F65">
        <w:rPr>
          <w:rFonts w:cs="Times New Roman"/>
        </w:rPr>
        <w:t>‘convinced that claus</w:t>
      </w:r>
      <w:r w:rsidR="00B16137" w:rsidRPr="00FA4F65">
        <w:rPr>
          <w:rFonts w:cs="Times New Roman"/>
        </w:rPr>
        <w:t>tration had driven most nuns to …</w:t>
      </w:r>
      <w:r w:rsidRPr="00FA4F65">
        <w:rPr>
          <w:rFonts w:cs="Times New Roman"/>
        </w:rPr>
        <w:t xml:space="preserve"> insanity</w:t>
      </w:r>
      <w:r w:rsidR="00825C76" w:rsidRPr="00FA4F65">
        <w:rPr>
          <w:rFonts w:cs="Times New Roman"/>
        </w:rPr>
        <w:t>.</w:t>
      </w:r>
      <w:r w:rsidRPr="00FA4F65">
        <w:rPr>
          <w:rFonts w:cs="Times New Roman"/>
        </w:rPr>
        <w:t>’</w:t>
      </w:r>
      <w:r w:rsidRPr="00FA4F65">
        <w:rPr>
          <w:rStyle w:val="FootnoteReference"/>
          <w:rFonts w:cs="Times New Roman"/>
        </w:rPr>
        <w:footnoteReference w:id="37"/>
      </w:r>
      <w:r w:rsidRPr="00FA4F65">
        <w:rPr>
          <w:rFonts w:cs="Times New Roman"/>
        </w:rPr>
        <w:t xml:space="preserve"> The decrees forbidding monasteries, con</w:t>
      </w:r>
      <w:r w:rsidR="007237E2" w:rsidRPr="00FA4F65">
        <w:rPr>
          <w:rFonts w:cs="Times New Roman"/>
        </w:rPr>
        <w:t>vents and new religious vows were</w:t>
      </w:r>
      <w:r w:rsidRPr="00FA4F65">
        <w:rPr>
          <w:rFonts w:cs="Times New Roman"/>
        </w:rPr>
        <w:t xml:space="preserve"> legalised as early as February, 1790.</w:t>
      </w:r>
      <w:r w:rsidR="00B820F0" w:rsidRPr="00FA4F65">
        <w:rPr>
          <w:rFonts w:cs="Times New Roman"/>
        </w:rPr>
        <w:t xml:space="preserve"> </w:t>
      </w:r>
      <w:r w:rsidR="0070061A" w:rsidRPr="00FA4F65">
        <w:rPr>
          <w:rFonts w:cs="Times New Roman"/>
        </w:rPr>
        <w:t>Fu</w:t>
      </w:r>
      <w:r w:rsidR="00892444" w:rsidRPr="00FA4F65">
        <w:rPr>
          <w:rFonts w:cs="Times New Roman"/>
        </w:rPr>
        <w:t>r</w:t>
      </w:r>
      <w:r w:rsidR="0070061A" w:rsidRPr="00FA4F65">
        <w:rPr>
          <w:rFonts w:cs="Times New Roman"/>
        </w:rPr>
        <w:t>thermore, it</w:t>
      </w:r>
      <w:r w:rsidR="00D00197" w:rsidRPr="00FA4F65">
        <w:rPr>
          <w:rFonts w:cs="Times New Roman"/>
        </w:rPr>
        <w:t xml:space="preserve"> was typical to depict a ‘conflict between an older social order (the phrase </w:t>
      </w:r>
      <w:r w:rsidR="00D00197" w:rsidRPr="00FA4F65">
        <w:rPr>
          <w:rFonts w:cs="Times New Roman"/>
          <w:i/>
          <w:lang w:val="fr-FR"/>
        </w:rPr>
        <w:t xml:space="preserve">ancien </w:t>
      </w:r>
      <w:r w:rsidR="00802867" w:rsidRPr="00FA4F65">
        <w:rPr>
          <w:rFonts w:cs="Times New Roman"/>
          <w:i/>
          <w:lang w:val="fr-FR"/>
        </w:rPr>
        <w:t>régime</w:t>
      </w:r>
      <w:r w:rsidR="00D00197" w:rsidRPr="00FA4F65">
        <w:rPr>
          <w:rFonts w:cs="Times New Roman"/>
        </w:rPr>
        <w:t xml:space="preserve"> was invented in these early days</w:t>
      </w:r>
      <w:r w:rsidR="002A71A8" w:rsidRPr="00FA4F65">
        <w:rPr>
          <w:rFonts w:cs="Times New Roman"/>
        </w:rPr>
        <w:t xml:space="preserve">) </w:t>
      </w:r>
      <w:r w:rsidR="00D00197" w:rsidRPr="00FA4F65">
        <w:rPr>
          <w:rStyle w:val="FootnoteReference"/>
          <w:rFonts w:cs="Times New Roman"/>
        </w:rPr>
        <w:t xml:space="preserve"> </w:t>
      </w:r>
      <w:r w:rsidR="00D00197" w:rsidRPr="00FA4F65">
        <w:rPr>
          <w:rFonts w:cs="Times New Roman"/>
        </w:rPr>
        <w:t>and a new one’</w:t>
      </w:r>
      <w:r w:rsidR="00D00197" w:rsidRPr="00FA4F65">
        <w:rPr>
          <w:rStyle w:val="FootnoteReference"/>
          <w:rFonts w:cs="Times New Roman"/>
        </w:rPr>
        <w:footnoteReference w:id="38"/>
      </w:r>
      <w:r w:rsidR="0070061A" w:rsidRPr="00FA4F65">
        <w:rPr>
          <w:rFonts w:cs="Times New Roman"/>
        </w:rPr>
        <w:t>:</w:t>
      </w:r>
      <w:r w:rsidR="00D00197" w:rsidRPr="00FA4F65">
        <w:rPr>
          <w:rFonts w:cs="Times New Roman"/>
        </w:rPr>
        <w:t xml:space="preserve"> the </w:t>
      </w:r>
      <w:r w:rsidR="00B16137" w:rsidRPr="00FA4F65">
        <w:rPr>
          <w:rFonts w:cs="Times New Roman"/>
        </w:rPr>
        <w:t>latter using reason to triumph over the former</w:t>
      </w:r>
      <w:r w:rsidR="00D00197" w:rsidRPr="00FA4F65">
        <w:rPr>
          <w:rFonts w:cs="Times New Roman"/>
        </w:rPr>
        <w:t>.</w:t>
      </w:r>
      <w:r w:rsidR="00B820F0" w:rsidRPr="00FA4F65">
        <w:rPr>
          <w:rFonts w:cs="Times New Roman"/>
        </w:rPr>
        <w:t xml:space="preserve"> </w:t>
      </w:r>
    </w:p>
    <w:p w:rsidR="009B6393" w:rsidRPr="00FA4F65" w:rsidRDefault="009F5481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>The ideology of the French Revolution, with its emphasis on equality can be describ</w:t>
      </w:r>
      <w:r w:rsidR="00C36146" w:rsidRPr="00FA4F65">
        <w:rPr>
          <w:rFonts w:cs="Times New Roman"/>
        </w:rPr>
        <w:t xml:space="preserve">ed as a form of proto-socialism. </w:t>
      </w:r>
      <w:r w:rsidR="009B6393" w:rsidRPr="00FA4F65">
        <w:rPr>
          <w:rFonts w:cs="Times New Roman"/>
          <w:i/>
        </w:rPr>
        <w:t>Les Victimes Cloitrées</w:t>
      </w:r>
      <w:r w:rsidR="00422889" w:rsidRPr="00FA4F65">
        <w:rPr>
          <w:rFonts w:cs="Times New Roman"/>
        </w:rPr>
        <w:t xml:space="preserve"> is the only play</w:t>
      </w:r>
      <w:r w:rsidR="00C36146" w:rsidRPr="00FA4F65">
        <w:rPr>
          <w:rFonts w:cs="Times New Roman"/>
        </w:rPr>
        <w:t xml:space="preserve"> however</w:t>
      </w:r>
      <w:r w:rsidR="00422889" w:rsidRPr="00FA4F65">
        <w:rPr>
          <w:rFonts w:cs="Times New Roman"/>
        </w:rPr>
        <w:t xml:space="preserve"> </w:t>
      </w:r>
      <w:r w:rsidR="007237E2" w:rsidRPr="00FA4F65">
        <w:rPr>
          <w:rFonts w:cs="Times New Roman"/>
        </w:rPr>
        <w:t>to include</w:t>
      </w:r>
      <w:r w:rsidR="00202B3E" w:rsidRPr="00FA4F65">
        <w:rPr>
          <w:rFonts w:cs="Times New Roman"/>
        </w:rPr>
        <w:t xml:space="preserve"> a scene to discuss Revolutionary politics</w:t>
      </w:r>
      <w:r w:rsidR="009B6393" w:rsidRPr="00FA4F65">
        <w:rPr>
          <w:rFonts w:cs="Times New Roman"/>
        </w:rPr>
        <w:t>:</w:t>
      </w:r>
    </w:p>
    <w:p w:rsidR="001E2CDD" w:rsidRPr="00FA4F65" w:rsidRDefault="009B6393" w:rsidP="00FA4F65">
      <w:pPr>
        <w:pStyle w:val="ListParagraph"/>
        <w:spacing w:line="480" w:lineRule="auto"/>
        <w:ind w:left="2552" w:right="521" w:hanging="1843"/>
        <w:rPr>
          <w:rFonts w:cs="Times New Roman"/>
          <w:i/>
          <w:lang w:val="fr-FR"/>
        </w:rPr>
      </w:pPr>
      <w:r w:rsidRPr="00FA4F65">
        <w:rPr>
          <w:rFonts w:cs="Times New Roman"/>
          <w:lang w:val="fr-FR"/>
        </w:rPr>
        <w:t xml:space="preserve">Mme de St. Alban: </w:t>
      </w:r>
      <w:r w:rsidR="00001397">
        <w:rPr>
          <w:rFonts w:cs="Times New Roman"/>
          <w:lang w:val="fr-FR"/>
        </w:rPr>
        <w:tab/>
      </w:r>
      <w:r w:rsidR="001D3A2C" w:rsidRPr="00FA4F65">
        <w:rPr>
          <w:rFonts w:cs="Times New Roman"/>
          <w:i/>
          <w:lang w:val="fr-FR"/>
        </w:rPr>
        <w:t xml:space="preserve">Ah </w:t>
      </w:r>
      <w:r w:rsidRPr="00FA4F65">
        <w:rPr>
          <w:rFonts w:cs="Times New Roman"/>
          <w:i/>
          <w:lang w:val="fr-FR"/>
        </w:rPr>
        <w:t>! voilà le grand argument de la philosophie</w:t>
      </w:r>
      <w:r w:rsidR="001D3A2C" w:rsidRPr="00FA4F65">
        <w:rPr>
          <w:rFonts w:cs="Times New Roman"/>
          <w:i/>
          <w:lang w:val="fr-FR"/>
        </w:rPr>
        <w:t xml:space="preserve"> ! des hommes </w:t>
      </w:r>
      <w:r w:rsidRPr="00FA4F65">
        <w:rPr>
          <w:rFonts w:cs="Times New Roman"/>
          <w:i/>
          <w:lang w:val="fr-FR"/>
        </w:rPr>
        <w:t xml:space="preserve">! vos </w:t>
      </w:r>
      <w:r w:rsidR="001E2CDD" w:rsidRPr="00FA4F65">
        <w:rPr>
          <w:rFonts w:cs="Times New Roman"/>
          <w:i/>
          <w:lang w:val="fr-FR"/>
        </w:rPr>
        <w:t xml:space="preserve">égaux, </w:t>
      </w:r>
      <w:r w:rsidRPr="00FA4F65">
        <w:rPr>
          <w:rFonts w:cs="Times New Roman"/>
          <w:i/>
          <w:lang w:val="fr-FR"/>
        </w:rPr>
        <w:t>n’est-ce pas</w:t>
      </w:r>
      <w:r w:rsidR="001D3A2C" w:rsidRPr="00FA4F65">
        <w:rPr>
          <w:rFonts w:cs="Times New Roman"/>
          <w:i/>
          <w:lang w:val="fr-FR"/>
        </w:rPr>
        <w:t xml:space="preserve"> </w:t>
      </w:r>
      <w:r w:rsidRPr="00FA4F65">
        <w:rPr>
          <w:rFonts w:cs="Times New Roman"/>
          <w:i/>
          <w:lang w:val="fr-FR"/>
        </w:rPr>
        <w:t>? vos semblables</w:t>
      </w:r>
      <w:r w:rsidR="001D3A2C" w:rsidRPr="00FA4F65">
        <w:rPr>
          <w:rFonts w:cs="Times New Roman"/>
          <w:i/>
          <w:lang w:val="fr-FR"/>
        </w:rPr>
        <w:t xml:space="preserve"> </w:t>
      </w:r>
      <w:r w:rsidRPr="00FA4F65">
        <w:rPr>
          <w:rFonts w:cs="Times New Roman"/>
          <w:i/>
          <w:lang w:val="fr-FR"/>
        </w:rPr>
        <w:t>?</w:t>
      </w:r>
      <w:r w:rsidRPr="00FA4F65">
        <w:rPr>
          <w:rStyle w:val="FootnoteReference"/>
          <w:rFonts w:cs="Times New Roman"/>
          <w:i/>
          <w:lang w:val="fr-FR"/>
        </w:rPr>
        <w:t xml:space="preserve"> </w:t>
      </w:r>
    </w:p>
    <w:p w:rsidR="009B6393" w:rsidRPr="00FA4F65" w:rsidRDefault="009B6393" w:rsidP="00C10F99">
      <w:pPr>
        <w:pStyle w:val="ListParagraph"/>
        <w:spacing w:line="480" w:lineRule="auto"/>
        <w:ind w:left="0" w:right="521" w:firstLine="720"/>
        <w:rPr>
          <w:rFonts w:cs="Times New Roman"/>
          <w:lang w:val="fr-FR"/>
        </w:rPr>
      </w:pPr>
      <w:r w:rsidRPr="00FA4F65">
        <w:rPr>
          <w:rFonts w:cs="Times New Roman"/>
          <w:lang w:val="fr-FR"/>
        </w:rPr>
        <w:t>M. de Franch</w:t>
      </w:r>
      <w:r w:rsidR="001E2CDD" w:rsidRPr="00FA4F65">
        <w:rPr>
          <w:rFonts w:cs="Times New Roman"/>
          <w:lang w:val="fr-FR"/>
        </w:rPr>
        <w:t>eville</w:t>
      </w:r>
      <w:r w:rsidRPr="00FA4F65">
        <w:rPr>
          <w:rFonts w:cs="Times New Roman"/>
          <w:lang w:val="fr-FR"/>
        </w:rPr>
        <w:t>:</w:t>
      </w:r>
      <w:r w:rsidR="00001397">
        <w:rPr>
          <w:rFonts w:cs="Times New Roman"/>
          <w:i/>
          <w:lang w:val="fr-FR"/>
        </w:rPr>
        <w:t xml:space="preserve"> </w:t>
      </w:r>
      <w:r w:rsidRPr="00FA4F65">
        <w:rPr>
          <w:rFonts w:cs="Times New Roman"/>
          <w:i/>
          <w:lang w:val="fr-FR"/>
        </w:rPr>
        <w:t>Oui, mes semblables</w:t>
      </w:r>
      <w:r w:rsidR="001D3A2C" w:rsidRPr="00FA4F65">
        <w:rPr>
          <w:rFonts w:cs="Times New Roman"/>
          <w:i/>
          <w:lang w:val="fr-FR"/>
        </w:rPr>
        <w:t xml:space="preserve"> </w:t>
      </w:r>
      <w:r w:rsidRPr="00FA4F65">
        <w:rPr>
          <w:rFonts w:cs="Times New Roman"/>
          <w:i/>
          <w:lang w:val="fr-FR"/>
        </w:rPr>
        <w:t>; mes égaux</w:t>
      </w:r>
      <w:r w:rsidR="00D05F0B" w:rsidRPr="00FA4F65">
        <w:rPr>
          <w:rFonts w:cs="Times New Roman"/>
          <w:i/>
          <w:lang w:val="fr-FR"/>
        </w:rPr>
        <w:t>.</w:t>
      </w:r>
      <w:r w:rsidRPr="00FA4F65">
        <w:rPr>
          <w:rStyle w:val="FootnoteReference"/>
          <w:rFonts w:cs="Times New Roman"/>
          <w:lang w:val="fr-FR"/>
        </w:rPr>
        <w:footnoteReference w:id="39"/>
      </w:r>
    </w:p>
    <w:p w:rsidR="00D05F0B" w:rsidRPr="00FA4F65" w:rsidRDefault="001E2CDD" w:rsidP="00C10F99">
      <w:pPr>
        <w:spacing w:line="480" w:lineRule="auto"/>
        <w:jc w:val="both"/>
        <w:rPr>
          <w:rFonts w:cs="Times New Roman"/>
        </w:rPr>
      </w:pPr>
      <w:r w:rsidRPr="00FA4F65">
        <w:rPr>
          <w:rFonts w:cs="Times New Roman"/>
          <w:i/>
        </w:rPr>
        <w:t>«</w:t>
      </w:r>
      <w:r w:rsidR="007A4C9D" w:rsidRPr="00FA4F65">
        <w:rPr>
          <w:rFonts w:cs="Times New Roman"/>
          <w:i/>
        </w:rPr>
        <w:t> </w:t>
      </w:r>
      <w:r w:rsidR="00202B3E" w:rsidRPr="00FA4F65">
        <w:rPr>
          <w:rFonts w:cs="Times New Roman"/>
          <w:i/>
        </w:rPr>
        <w:t>F</w:t>
      </w:r>
      <w:r w:rsidRPr="00FA4F65">
        <w:rPr>
          <w:rFonts w:cs="Times New Roman"/>
          <w:i/>
        </w:rPr>
        <w:t>ière et entichée de sa noblesse</w:t>
      </w:r>
      <w:r w:rsidR="00422889" w:rsidRPr="00FA4F65">
        <w:rPr>
          <w:rFonts w:cs="Times New Roman"/>
          <w:i/>
        </w:rPr>
        <w:t>,</w:t>
      </w:r>
      <w:r w:rsidR="007A4C9D" w:rsidRPr="00FA4F65">
        <w:rPr>
          <w:rFonts w:cs="Times New Roman"/>
          <w:i/>
        </w:rPr>
        <w:t> </w:t>
      </w:r>
      <w:r w:rsidRPr="00FA4F65">
        <w:rPr>
          <w:rFonts w:cs="Times New Roman"/>
          <w:i/>
        </w:rPr>
        <w:t>»</w:t>
      </w:r>
      <w:r w:rsidRPr="00FA4F65">
        <w:rPr>
          <w:rStyle w:val="FootnoteReference"/>
          <w:rFonts w:cs="Times New Roman"/>
        </w:rPr>
        <w:t> </w:t>
      </w:r>
      <w:r w:rsidRPr="00FA4F65">
        <w:rPr>
          <w:rStyle w:val="FootnoteReference"/>
          <w:rFonts w:cs="Times New Roman"/>
          <w:lang w:val="fr-FR"/>
        </w:rPr>
        <w:footnoteReference w:id="40"/>
      </w:r>
      <w:r w:rsidR="00202B3E" w:rsidRPr="00FA4F65">
        <w:rPr>
          <w:rStyle w:val="FootnoteReference"/>
          <w:rFonts w:cs="Times New Roman"/>
        </w:rPr>
        <w:t xml:space="preserve"> </w:t>
      </w:r>
      <w:r w:rsidR="00202B3E" w:rsidRPr="00FA4F65">
        <w:rPr>
          <w:rFonts w:cs="Times New Roman"/>
        </w:rPr>
        <w:t xml:space="preserve">Mme de St. Alban </w:t>
      </w:r>
      <w:r w:rsidR="00B66EC7">
        <w:rPr>
          <w:rFonts w:cs="Times New Roman"/>
        </w:rPr>
        <w:t>uses ‘</w:t>
      </w:r>
      <w:r w:rsidR="00B66EC7">
        <w:rPr>
          <w:rFonts w:cs="Times New Roman"/>
          <w:i/>
        </w:rPr>
        <w:t>vos</w:t>
      </w:r>
      <w:r w:rsidR="00B66EC7">
        <w:rPr>
          <w:rFonts w:cs="Times New Roman"/>
        </w:rPr>
        <w:t>’</w:t>
      </w:r>
      <w:r w:rsidR="00B66EC7">
        <w:rPr>
          <w:rFonts w:cs="Times New Roman"/>
          <w:i/>
        </w:rPr>
        <w:t xml:space="preserve"> </w:t>
      </w:r>
      <w:r w:rsidR="00B66EC7">
        <w:rPr>
          <w:rFonts w:cs="Times New Roman"/>
        </w:rPr>
        <w:t xml:space="preserve">to separate herself from </w:t>
      </w:r>
      <w:r w:rsidR="00192DB8">
        <w:rPr>
          <w:rFonts w:cs="Times New Roman"/>
        </w:rPr>
        <w:t>‘</w:t>
      </w:r>
      <w:r w:rsidR="00B66EC7">
        <w:rPr>
          <w:rFonts w:cs="Times New Roman"/>
          <w:i/>
        </w:rPr>
        <w:t>les hommes,</w:t>
      </w:r>
      <w:r w:rsidR="00192DB8">
        <w:rPr>
          <w:rFonts w:cs="Times New Roman"/>
        </w:rPr>
        <w:t>’</w:t>
      </w:r>
      <w:r w:rsidR="00B66EC7">
        <w:rPr>
          <w:rFonts w:cs="Times New Roman"/>
          <w:i/>
        </w:rPr>
        <w:t xml:space="preserve"> </w:t>
      </w:r>
      <w:r w:rsidR="00B66EC7">
        <w:rPr>
          <w:rFonts w:cs="Times New Roman"/>
        </w:rPr>
        <w:t>believ</w:t>
      </w:r>
      <w:r w:rsidR="00192DB8">
        <w:rPr>
          <w:rFonts w:cs="Times New Roman"/>
        </w:rPr>
        <w:t>ing</w:t>
      </w:r>
      <w:r w:rsidR="00B66EC7">
        <w:rPr>
          <w:rFonts w:cs="Times New Roman"/>
        </w:rPr>
        <w:t xml:space="preserve"> herself to be above others. She</w:t>
      </w:r>
      <w:r w:rsidR="00B66EC7">
        <w:rPr>
          <w:rFonts w:cs="Times New Roman"/>
          <w:i/>
        </w:rPr>
        <w:t xml:space="preserve"> </w:t>
      </w:r>
      <w:r w:rsidR="00202B3E" w:rsidRPr="00FA4F65">
        <w:rPr>
          <w:rFonts w:cs="Times New Roman"/>
        </w:rPr>
        <w:t xml:space="preserve">is ignorant of </w:t>
      </w:r>
      <w:r w:rsidR="00B16137" w:rsidRPr="00FA4F65">
        <w:rPr>
          <w:rFonts w:cs="Times New Roman"/>
        </w:rPr>
        <w:t xml:space="preserve">contemporary </w:t>
      </w:r>
      <w:r w:rsidR="00202B3E" w:rsidRPr="00FA4F65">
        <w:rPr>
          <w:rFonts w:cs="Times New Roman"/>
        </w:rPr>
        <w:t xml:space="preserve">politics </w:t>
      </w:r>
      <w:r w:rsidR="00D05F0B" w:rsidRPr="00FA4F65">
        <w:rPr>
          <w:rFonts w:cs="Times New Roman"/>
        </w:rPr>
        <w:t>while</w:t>
      </w:r>
      <w:r w:rsidRPr="00FA4F65">
        <w:rPr>
          <w:rFonts w:cs="Times New Roman"/>
        </w:rPr>
        <w:t xml:space="preserve"> M. de Francheville stands as an educated voice of reason</w:t>
      </w:r>
      <w:r w:rsidR="009F5481" w:rsidRPr="00FA4F65">
        <w:rPr>
          <w:rFonts w:cs="Times New Roman"/>
        </w:rPr>
        <w:t xml:space="preserve">, promoting the ideals of </w:t>
      </w:r>
      <w:r w:rsidR="006B1F5D" w:rsidRPr="00FA4F65">
        <w:rPr>
          <w:rFonts w:cs="Times New Roman"/>
        </w:rPr>
        <w:t>1789 (to the delight of the audience)</w:t>
      </w:r>
      <w:r w:rsidR="009F5481" w:rsidRPr="00FA4F65">
        <w:rPr>
          <w:rFonts w:cs="Times New Roman"/>
        </w:rPr>
        <w:t>.</w:t>
      </w:r>
      <w:r w:rsidRPr="00FA4F65">
        <w:rPr>
          <w:rFonts w:cs="Times New Roman"/>
        </w:rPr>
        <w:t xml:space="preserve"> </w:t>
      </w:r>
      <w:r w:rsidR="00511026">
        <w:rPr>
          <w:rFonts w:cs="Times New Roman"/>
        </w:rPr>
        <w:t xml:space="preserve">The repetition of </w:t>
      </w:r>
      <w:r w:rsidR="00001397">
        <w:rPr>
          <w:rFonts w:cs="Times New Roman"/>
        </w:rPr>
        <w:t>‘</w:t>
      </w:r>
      <w:r w:rsidR="00511026" w:rsidRPr="00511026">
        <w:rPr>
          <w:rFonts w:cs="Times New Roman"/>
          <w:i/>
        </w:rPr>
        <w:t>égaux</w:t>
      </w:r>
      <w:r w:rsidR="00001397">
        <w:rPr>
          <w:rFonts w:cs="Times New Roman"/>
        </w:rPr>
        <w:t>’</w:t>
      </w:r>
      <w:r w:rsidR="00511026">
        <w:rPr>
          <w:rFonts w:cs="Times New Roman"/>
        </w:rPr>
        <w:t xml:space="preserve"> and </w:t>
      </w:r>
      <w:r w:rsidR="00001397">
        <w:rPr>
          <w:rFonts w:cs="Times New Roman"/>
        </w:rPr>
        <w:t>‘</w:t>
      </w:r>
      <w:r w:rsidR="00511026">
        <w:rPr>
          <w:rFonts w:cs="Times New Roman"/>
          <w:i/>
        </w:rPr>
        <w:t>semblables</w:t>
      </w:r>
      <w:r w:rsidR="00001397">
        <w:rPr>
          <w:rFonts w:cs="Times New Roman"/>
        </w:rPr>
        <w:t>’</w:t>
      </w:r>
      <w:r w:rsidR="00511026">
        <w:rPr>
          <w:rFonts w:cs="Times New Roman"/>
          <w:i/>
        </w:rPr>
        <w:t xml:space="preserve"> </w:t>
      </w:r>
      <w:r w:rsidR="00511026">
        <w:rPr>
          <w:rFonts w:cs="Times New Roman"/>
        </w:rPr>
        <w:t xml:space="preserve">would greatly please the audience: revolutionary rhetoric triumphs in the face of </w:t>
      </w:r>
      <w:r w:rsidR="00511026">
        <w:rPr>
          <w:rFonts w:cs="Times New Roman"/>
          <w:i/>
        </w:rPr>
        <w:t>ancien r</w:t>
      </w:r>
      <w:r w:rsidR="00192DB8">
        <w:rPr>
          <w:rFonts w:cs="Times New Roman"/>
          <w:i/>
        </w:rPr>
        <w:t>é</w:t>
      </w:r>
      <w:r w:rsidR="00511026">
        <w:rPr>
          <w:rFonts w:cs="Times New Roman"/>
          <w:i/>
        </w:rPr>
        <w:t>gime</w:t>
      </w:r>
      <w:r w:rsidR="00511026">
        <w:rPr>
          <w:rFonts w:cs="Times New Roman"/>
        </w:rPr>
        <w:t xml:space="preserve"> </w:t>
      </w:r>
      <w:r w:rsidR="00192DB8">
        <w:rPr>
          <w:rFonts w:cs="Times New Roman"/>
        </w:rPr>
        <w:t>hierarchy</w:t>
      </w:r>
      <w:r w:rsidR="00511026">
        <w:rPr>
          <w:rFonts w:cs="Times New Roman"/>
        </w:rPr>
        <w:t xml:space="preserve">. </w:t>
      </w:r>
      <w:r w:rsidR="00E2443F" w:rsidRPr="00FA4F65">
        <w:rPr>
          <w:rFonts w:cs="Times New Roman"/>
        </w:rPr>
        <w:t>The plays</w:t>
      </w:r>
      <w:r w:rsidR="00BB7E8B" w:rsidRPr="00FA4F65">
        <w:rPr>
          <w:rFonts w:cs="Times New Roman"/>
        </w:rPr>
        <w:t xml:space="preserve"> were able to praise equality</w:t>
      </w:r>
      <w:r w:rsidR="00E2443F" w:rsidRPr="00FA4F65">
        <w:rPr>
          <w:rFonts w:cs="Times New Roman"/>
        </w:rPr>
        <w:t xml:space="preserve"> through making the </w:t>
      </w:r>
      <w:r w:rsidR="007237E2" w:rsidRPr="00FA4F65">
        <w:rPr>
          <w:rFonts w:cs="Times New Roman"/>
        </w:rPr>
        <w:t>convent a symbol of inequality. A</w:t>
      </w:r>
      <w:r w:rsidR="006B1F5D" w:rsidRPr="00FA4F65">
        <w:rPr>
          <w:rFonts w:cs="Times New Roman"/>
        </w:rPr>
        <w:t>uthors ‘</w:t>
      </w:r>
      <w:r w:rsidR="00E2443F" w:rsidRPr="00FA4F65">
        <w:rPr>
          <w:rFonts w:cs="Times New Roman"/>
        </w:rPr>
        <w:t>understood the convent to be an inherently despotic institution because of its hierarchical structure, which allowed whim to take precedence over rules</w:t>
      </w:r>
      <w:r w:rsidR="00511026" w:rsidRPr="00FA4F65">
        <w:rPr>
          <w:rFonts w:cs="Times New Roman"/>
        </w:rPr>
        <w:t>’</w:t>
      </w:r>
      <w:r w:rsidR="00E2443F" w:rsidRPr="00FA4F65">
        <w:rPr>
          <w:rFonts w:cs="Times New Roman"/>
        </w:rPr>
        <w:t>.</w:t>
      </w:r>
      <w:r w:rsidR="00E2443F" w:rsidRPr="00FA4F65">
        <w:rPr>
          <w:rStyle w:val="FootnoteReference"/>
          <w:rFonts w:cs="Times New Roman"/>
        </w:rPr>
        <w:footnoteReference w:id="41"/>
      </w:r>
      <w:r w:rsidR="00E2443F" w:rsidRPr="00FA4F65">
        <w:rPr>
          <w:rFonts w:cs="Times New Roman"/>
        </w:rPr>
        <w:t xml:space="preserve"> </w:t>
      </w:r>
      <w:r w:rsidR="007237E2" w:rsidRPr="00FA4F65">
        <w:rPr>
          <w:rFonts w:cs="Times New Roman"/>
        </w:rPr>
        <w:t>However,</w:t>
      </w:r>
      <w:r w:rsidR="006B1F5D" w:rsidRPr="00FA4F65">
        <w:rPr>
          <w:rFonts w:cs="Times New Roman"/>
        </w:rPr>
        <w:t xml:space="preserve"> t</w:t>
      </w:r>
      <w:r w:rsidR="00CE2125" w:rsidRPr="00FA4F65">
        <w:rPr>
          <w:rFonts w:cs="Times New Roman"/>
        </w:rPr>
        <w:t xml:space="preserve">he </w:t>
      </w:r>
      <w:r w:rsidR="00C36146" w:rsidRPr="00FA4F65">
        <w:rPr>
          <w:rFonts w:cs="Times New Roman"/>
        </w:rPr>
        <w:t>fact that the plays</w:t>
      </w:r>
      <w:r w:rsidR="00CE2125" w:rsidRPr="00FA4F65">
        <w:rPr>
          <w:rFonts w:cs="Times New Roman"/>
        </w:rPr>
        <w:t xml:space="preserve"> are set </w:t>
      </w:r>
      <w:r w:rsidR="00C36146" w:rsidRPr="00FA4F65">
        <w:rPr>
          <w:rFonts w:cs="Times New Roman"/>
        </w:rPr>
        <w:t>with</w:t>
      </w:r>
      <w:r w:rsidR="00CE2125" w:rsidRPr="00FA4F65">
        <w:rPr>
          <w:rFonts w:cs="Times New Roman"/>
        </w:rPr>
        <w:t>in convents</w:t>
      </w:r>
      <w:r w:rsidR="00C36146" w:rsidRPr="00FA4F65">
        <w:rPr>
          <w:rFonts w:cs="Times New Roman"/>
        </w:rPr>
        <w:t xml:space="preserve"> </w:t>
      </w:r>
      <w:r w:rsidR="00BB7E8B" w:rsidRPr="00FA4F65">
        <w:rPr>
          <w:rFonts w:cs="Times New Roman"/>
        </w:rPr>
        <w:t xml:space="preserve">(religious, hierarchical institutions) also </w:t>
      </w:r>
      <w:r w:rsidR="00C36146" w:rsidRPr="00FA4F65">
        <w:rPr>
          <w:rFonts w:cs="Times New Roman"/>
        </w:rPr>
        <w:t xml:space="preserve">prevents them from being revolutionary in a utopic sense; the distinctive social divisions also render this impossible. </w:t>
      </w:r>
    </w:p>
    <w:p w:rsidR="00614378" w:rsidRPr="00FA4F65" w:rsidRDefault="00D05F0B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>Liberty was unquestionably the most important</w:t>
      </w:r>
      <w:r w:rsidR="00BB7E8B" w:rsidRPr="00FA4F65">
        <w:rPr>
          <w:rFonts w:cs="Times New Roman"/>
        </w:rPr>
        <w:t xml:space="preserve"> Revolutionary ideal conveyed through</w:t>
      </w:r>
      <w:r w:rsidRPr="00FA4F65">
        <w:rPr>
          <w:rFonts w:cs="Times New Roman"/>
        </w:rPr>
        <w:t xml:space="preserve"> these plays. This was done largely through making the convent a metaphor for a prison. </w:t>
      </w:r>
      <w:r w:rsidR="005A41F0" w:rsidRPr="00FA4F65">
        <w:rPr>
          <w:rFonts w:cs="Times New Roman"/>
        </w:rPr>
        <w:t xml:space="preserve">In </w:t>
      </w:r>
      <w:r w:rsidR="005A41F0" w:rsidRPr="00FA4F65">
        <w:rPr>
          <w:rFonts w:cs="Times New Roman"/>
          <w:i/>
        </w:rPr>
        <w:t xml:space="preserve">Le Couvent </w:t>
      </w:r>
      <w:r w:rsidR="005A41F0" w:rsidRPr="00FA4F65">
        <w:rPr>
          <w:rFonts w:cs="Times New Roman"/>
        </w:rPr>
        <w:t>we frequently see such references</w:t>
      </w:r>
      <w:r w:rsidR="007237E2" w:rsidRPr="00FA4F65">
        <w:rPr>
          <w:rFonts w:cs="Times New Roman"/>
        </w:rPr>
        <w:t xml:space="preserve"> from Le Chevalier and Antoine (</w:t>
      </w:r>
      <w:r w:rsidR="005A41F0" w:rsidRPr="00FA4F65">
        <w:rPr>
          <w:rFonts w:cs="Times New Roman"/>
        </w:rPr>
        <w:t xml:space="preserve">who </w:t>
      </w:r>
      <w:r w:rsidR="00B16137" w:rsidRPr="00FA4F65">
        <w:rPr>
          <w:rFonts w:cs="Times New Roman"/>
        </w:rPr>
        <w:t>calls it</w:t>
      </w:r>
      <w:r w:rsidR="005A41F0" w:rsidRPr="00FA4F65">
        <w:rPr>
          <w:rFonts w:cs="Times New Roman"/>
        </w:rPr>
        <w:t xml:space="preserve"> a «</w:t>
      </w:r>
      <w:r w:rsidR="007A4C9D" w:rsidRPr="00FA4F65">
        <w:rPr>
          <w:rFonts w:cs="Times New Roman"/>
          <w:i/>
        </w:rPr>
        <w:t> </w:t>
      </w:r>
      <w:r w:rsidR="005A41F0" w:rsidRPr="00FA4F65">
        <w:rPr>
          <w:rFonts w:cs="Times New Roman"/>
          <w:i/>
        </w:rPr>
        <w:t>cage</w:t>
      </w:r>
      <w:r w:rsidR="007A4C9D" w:rsidRPr="00FA4F65">
        <w:rPr>
          <w:rFonts w:cs="Times New Roman"/>
          <w:i/>
        </w:rPr>
        <w:t> </w:t>
      </w:r>
      <w:r w:rsidR="005A41F0" w:rsidRPr="00FA4F65">
        <w:rPr>
          <w:rFonts w:cs="Times New Roman"/>
          <w:i/>
        </w:rPr>
        <w:t>»</w:t>
      </w:r>
      <w:r w:rsidR="007237E2" w:rsidRPr="00FA4F65">
        <w:rPr>
          <w:rFonts w:cs="Times New Roman"/>
        </w:rPr>
        <w:t>)</w:t>
      </w:r>
      <w:r w:rsidR="005A41F0" w:rsidRPr="00FA4F65">
        <w:rPr>
          <w:rFonts w:cs="Times New Roman"/>
          <w:i/>
        </w:rPr>
        <w:t>.</w:t>
      </w:r>
      <w:r w:rsidR="005A41F0" w:rsidRPr="00FA4F65">
        <w:rPr>
          <w:rStyle w:val="FootnoteReference"/>
          <w:rFonts w:cs="Times New Roman"/>
          <w:lang w:val="fr-FR"/>
        </w:rPr>
        <w:footnoteReference w:id="42"/>
      </w:r>
      <w:r w:rsidR="005A41F0" w:rsidRPr="00FA4F65">
        <w:rPr>
          <w:rFonts w:cs="Times New Roman"/>
        </w:rPr>
        <w:t xml:space="preserve"> </w:t>
      </w:r>
      <w:r w:rsidR="005A41F0" w:rsidRPr="00FA4F65">
        <w:rPr>
          <w:rFonts w:cs="Times New Roman"/>
          <w:i/>
        </w:rPr>
        <w:t xml:space="preserve">Les Victimes Cloitrées </w:t>
      </w:r>
      <w:r w:rsidR="005A41F0" w:rsidRPr="00FA4F65">
        <w:rPr>
          <w:rFonts w:cs="Times New Roman"/>
        </w:rPr>
        <w:t>depicts entering a religious community as a</w:t>
      </w:r>
      <w:r w:rsidR="005A41F0" w:rsidRPr="00FA4F65">
        <w:rPr>
          <w:rFonts w:cs="Times New Roman"/>
          <w:i/>
        </w:rPr>
        <w:t xml:space="preserve"> «</w:t>
      </w:r>
      <w:r w:rsidR="007A4C9D" w:rsidRPr="00FA4F65">
        <w:rPr>
          <w:rFonts w:cs="Times New Roman"/>
          <w:i/>
        </w:rPr>
        <w:t> </w:t>
      </w:r>
      <w:r w:rsidR="00C36146" w:rsidRPr="00FA4F65">
        <w:rPr>
          <w:rFonts w:cs="Times New Roman"/>
          <w:i/>
        </w:rPr>
        <w:t>sacrifice de sa</w:t>
      </w:r>
      <w:r w:rsidR="005A41F0" w:rsidRPr="00FA4F65">
        <w:rPr>
          <w:rFonts w:cs="Times New Roman"/>
          <w:i/>
        </w:rPr>
        <w:t xml:space="preserve"> liberté</w:t>
      </w:r>
      <w:r w:rsidR="007A4C9D" w:rsidRPr="00FA4F65">
        <w:rPr>
          <w:rFonts w:cs="Times New Roman"/>
          <w:i/>
        </w:rPr>
        <w:t> </w:t>
      </w:r>
      <w:r w:rsidR="005A41F0" w:rsidRPr="00FA4F65">
        <w:rPr>
          <w:rFonts w:cs="Times New Roman"/>
          <w:i/>
        </w:rPr>
        <w:t>»</w:t>
      </w:r>
      <w:r w:rsidR="005A41F0" w:rsidRPr="00FA4F65">
        <w:rPr>
          <w:rStyle w:val="FootnoteReference"/>
          <w:rFonts w:cs="Times New Roman"/>
          <w:lang w:val="fr-FR"/>
        </w:rPr>
        <w:footnoteReference w:id="43"/>
      </w:r>
      <w:r w:rsidR="005A41F0" w:rsidRPr="00FA4F65">
        <w:rPr>
          <w:rFonts w:cs="Times New Roman"/>
        </w:rPr>
        <w:t xml:space="preserve"> and Pigault-Leb</w:t>
      </w:r>
      <w:r w:rsidR="00C821D3" w:rsidRPr="00FA4F65">
        <w:rPr>
          <w:rFonts w:cs="Times New Roman"/>
        </w:rPr>
        <w:t xml:space="preserve">run goes as far as to call it </w:t>
      </w:r>
      <w:r w:rsidR="00C821D3" w:rsidRPr="00FA4F65">
        <w:rPr>
          <w:rFonts w:cs="Times New Roman"/>
          <w:i/>
        </w:rPr>
        <w:t>«</w:t>
      </w:r>
      <w:r w:rsidR="007A4C9D" w:rsidRPr="00FA4F65">
        <w:rPr>
          <w:rFonts w:cs="Times New Roman"/>
          <w:i/>
        </w:rPr>
        <w:t> </w:t>
      </w:r>
      <w:r w:rsidR="00C821D3" w:rsidRPr="00FA4F65">
        <w:rPr>
          <w:rFonts w:cs="Times New Roman"/>
          <w:i/>
        </w:rPr>
        <w:t>l</w:t>
      </w:r>
      <w:r w:rsidR="005A41F0" w:rsidRPr="00FA4F65">
        <w:rPr>
          <w:rFonts w:cs="Times New Roman"/>
          <w:i/>
        </w:rPr>
        <w:t>e plus ridicule esclavage</w:t>
      </w:r>
      <w:r w:rsidR="007A4C9D" w:rsidRPr="00FA4F65">
        <w:rPr>
          <w:rFonts w:cs="Times New Roman"/>
          <w:i/>
        </w:rPr>
        <w:t> </w:t>
      </w:r>
      <w:r w:rsidR="005A41F0" w:rsidRPr="00FA4F65">
        <w:rPr>
          <w:rFonts w:cs="Times New Roman"/>
          <w:i/>
        </w:rPr>
        <w:t>»</w:t>
      </w:r>
      <w:r w:rsidR="00C821D3" w:rsidRPr="00FA4F65">
        <w:rPr>
          <w:rFonts w:cs="Times New Roman"/>
          <w:i/>
        </w:rPr>
        <w:t>.</w:t>
      </w:r>
      <w:r w:rsidR="005A41F0" w:rsidRPr="00FA4F65">
        <w:rPr>
          <w:rStyle w:val="FootnoteReference"/>
          <w:rFonts w:cs="Times New Roman"/>
          <w:lang w:val="fr-FR"/>
        </w:rPr>
        <w:footnoteReference w:id="44"/>
      </w:r>
      <w:r w:rsidR="005A41F0" w:rsidRPr="00FA4F65">
        <w:rPr>
          <w:rFonts w:cs="Times New Roman"/>
          <w:i/>
        </w:rPr>
        <w:t xml:space="preserve"> </w:t>
      </w:r>
      <w:r w:rsidR="006D0590" w:rsidRPr="00FA4F65">
        <w:rPr>
          <w:rFonts w:cs="Times New Roman"/>
        </w:rPr>
        <w:t>Strasser explains that this metaphor</w:t>
      </w:r>
      <w:r w:rsidR="00C821D3" w:rsidRPr="00FA4F65">
        <w:rPr>
          <w:rFonts w:cs="Times New Roman"/>
        </w:rPr>
        <w:t xml:space="preserve"> was not limited to literature: ‘</w:t>
      </w:r>
      <w:r w:rsidR="006D0590" w:rsidRPr="00FA4F65">
        <w:rPr>
          <w:rFonts w:cs="Times New Roman"/>
        </w:rPr>
        <w:t>r</w:t>
      </w:r>
      <w:r w:rsidR="00C821D3" w:rsidRPr="00FA4F65">
        <w:rPr>
          <w:rFonts w:cs="Times New Roman"/>
        </w:rPr>
        <w:t>eligious communities figured prominently in the most pressing public debates and courtroom d</w:t>
      </w:r>
      <w:r w:rsidR="006D0590" w:rsidRPr="00FA4F65">
        <w:rPr>
          <w:rFonts w:cs="Times New Roman"/>
        </w:rPr>
        <w:t>ramas where – like the Bastille</w:t>
      </w:r>
      <w:r w:rsidR="00B16137" w:rsidRPr="00FA4F65">
        <w:rPr>
          <w:rFonts w:cs="Times New Roman"/>
        </w:rPr>
        <w:t xml:space="preserve"> </w:t>
      </w:r>
      <w:r w:rsidR="006D0590" w:rsidRPr="00FA4F65">
        <w:rPr>
          <w:rFonts w:cs="Times New Roman"/>
        </w:rPr>
        <w:t>…</w:t>
      </w:r>
      <w:r w:rsidR="00B16137" w:rsidRPr="00FA4F65">
        <w:rPr>
          <w:rFonts w:cs="Times New Roman"/>
        </w:rPr>
        <w:t xml:space="preserve"> </w:t>
      </w:r>
      <w:r w:rsidR="00C821D3" w:rsidRPr="00FA4F65">
        <w:rPr>
          <w:rFonts w:cs="Times New Roman"/>
        </w:rPr>
        <w:t>– they provided potent symbols in discussions of liberty, public order and despotism’.</w:t>
      </w:r>
      <w:r w:rsidR="00C821D3" w:rsidRPr="00FA4F65">
        <w:rPr>
          <w:rStyle w:val="FootnoteReference"/>
          <w:rFonts w:cs="Times New Roman"/>
        </w:rPr>
        <w:footnoteReference w:id="45"/>
      </w:r>
      <w:r w:rsidR="006D0590" w:rsidRPr="00FA4F65">
        <w:rPr>
          <w:rFonts w:cs="Times New Roman"/>
        </w:rPr>
        <w:t xml:space="preserve"> </w:t>
      </w:r>
      <w:r w:rsidR="00E95339">
        <w:rPr>
          <w:rFonts w:cs="Times New Roman"/>
        </w:rPr>
        <w:t xml:space="preserve">Indeed the Bastille symbolized the </w:t>
      </w:r>
      <w:r w:rsidR="00E95339">
        <w:rPr>
          <w:rFonts w:cs="Times New Roman"/>
          <w:i/>
        </w:rPr>
        <w:t>ancien r</w:t>
      </w:r>
      <w:r w:rsidR="00192DB8">
        <w:rPr>
          <w:rFonts w:cs="Times New Roman"/>
          <w:i/>
        </w:rPr>
        <w:t>é</w:t>
      </w:r>
      <w:r w:rsidR="00E95339">
        <w:rPr>
          <w:rFonts w:cs="Times New Roman"/>
          <w:i/>
        </w:rPr>
        <w:t xml:space="preserve">gime </w:t>
      </w:r>
      <w:r w:rsidR="00E95339">
        <w:rPr>
          <w:rFonts w:cs="Times New Roman"/>
        </w:rPr>
        <w:t>and its suppression symbolized the triumph of liberty.</w:t>
      </w:r>
      <w:r w:rsidR="00E95339">
        <w:rPr>
          <w:rStyle w:val="FootnoteReference"/>
          <w:rFonts w:cs="Times New Roman"/>
        </w:rPr>
        <w:footnoteReference w:id="46"/>
      </w:r>
      <w:r w:rsidR="00192DB8">
        <w:rPr>
          <w:rFonts w:cs="Times New Roman"/>
        </w:rPr>
        <w:t xml:space="preserve"> </w:t>
      </w:r>
      <w:r w:rsidR="00780314" w:rsidRPr="00FA4F65">
        <w:rPr>
          <w:rFonts w:cs="Times New Roman"/>
        </w:rPr>
        <w:t>Furthermore,</w:t>
      </w:r>
      <w:r w:rsidR="00AD102C" w:rsidRPr="00FA4F65">
        <w:rPr>
          <w:rFonts w:cs="Times New Roman"/>
        </w:rPr>
        <w:t xml:space="preserve"> throughout</w:t>
      </w:r>
      <w:r w:rsidR="00192DB8">
        <w:rPr>
          <w:rFonts w:cs="Times New Roman"/>
        </w:rPr>
        <w:t xml:space="preserve"> r</w:t>
      </w:r>
      <w:r w:rsidR="005A41F0" w:rsidRPr="00FA4F65">
        <w:rPr>
          <w:rFonts w:cs="Times New Roman"/>
        </w:rPr>
        <w:t>evolutionary theatre, ‘the enemies of the Revolution were en</w:t>
      </w:r>
      <w:r w:rsidR="007237E2" w:rsidRPr="00FA4F65">
        <w:rPr>
          <w:rFonts w:cs="Times New Roman"/>
        </w:rPr>
        <w:t>emies of liberty and equality.</w:t>
      </w:r>
      <w:r w:rsidR="00937DCD" w:rsidRPr="00FA4F65">
        <w:rPr>
          <w:rFonts w:cs="Times New Roman"/>
        </w:rPr>
        <w:t>’</w:t>
      </w:r>
      <w:r w:rsidR="005A41F0" w:rsidRPr="00FA4F65">
        <w:rPr>
          <w:rStyle w:val="FootnoteReference"/>
          <w:rFonts w:cs="Times New Roman"/>
        </w:rPr>
        <w:footnoteReference w:id="47"/>
      </w:r>
      <w:r w:rsidR="007237E2" w:rsidRPr="00FA4F65">
        <w:rPr>
          <w:rFonts w:cs="Times New Roman"/>
        </w:rPr>
        <w:t xml:space="preserve"> T</w:t>
      </w:r>
      <w:r w:rsidR="005A41F0" w:rsidRPr="00FA4F65">
        <w:rPr>
          <w:rFonts w:cs="Times New Roman"/>
        </w:rPr>
        <w:t>he concepts of forced vocations, false imprisonments or even entering a religious community for lack o</w:t>
      </w:r>
      <w:r w:rsidR="00780314" w:rsidRPr="00FA4F65">
        <w:rPr>
          <w:rFonts w:cs="Times New Roman"/>
        </w:rPr>
        <w:t>f other options were then</w:t>
      </w:r>
      <w:r w:rsidR="005A41F0" w:rsidRPr="00FA4F65">
        <w:rPr>
          <w:rFonts w:cs="Times New Roman"/>
        </w:rPr>
        <w:t xml:space="preserve"> counter-</w:t>
      </w:r>
      <w:r w:rsidR="00192DB8">
        <w:rPr>
          <w:rFonts w:cs="Times New Roman"/>
        </w:rPr>
        <w:t>r</w:t>
      </w:r>
      <w:r w:rsidR="005A41F0" w:rsidRPr="00FA4F65">
        <w:rPr>
          <w:rFonts w:cs="Times New Roman"/>
        </w:rPr>
        <w:t xml:space="preserve">evolutionary. </w:t>
      </w:r>
      <w:r w:rsidR="00780314" w:rsidRPr="00FA4F65">
        <w:rPr>
          <w:rFonts w:cs="Times New Roman"/>
        </w:rPr>
        <w:t>T</w:t>
      </w:r>
      <w:r w:rsidR="003A1542" w:rsidRPr="00FA4F65">
        <w:rPr>
          <w:rFonts w:cs="Times New Roman"/>
        </w:rPr>
        <w:t>his encapsulates what Choudhury describes as the ‘contradictory images of women religious as “victims” and “despots”’</w:t>
      </w:r>
      <w:r w:rsidR="00001397" w:rsidRPr="00FA4F65">
        <w:rPr>
          <w:rFonts w:cs="Times New Roman"/>
        </w:rPr>
        <w:t>:</w:t>
      </w:r>
      <w:r w:rsidR="003A1542" w:rsidRPr="00FA4F65">
        <w:rPr>
          <w:rFonts w:cs="Times New Roman"/>
        </w:rPr>
        <w:t xml:space="preserve"> the convent </w:t>
      </w:r>
      <w:r w:rsidR="00B16137" w:rsidRPr="00FA4F65">
        <w:rPr>
          <w:rFonts w:cs="Times New Roman"/>
        </w:rPr>
        <w:t>bei</w:t>
      </w:r>
      <w:r w:rsidR="007237E2" w:rsidRPr="00FA4F65">
        <w:rPr>
          <w:rFonts w:cs="Times New Roman"/>
        </w:rPr>
        <w:t>ng tyrannical and the nuns</w:t>
      </w:r>
      <w:r w:rsidR="00B16137" w:rsidRPr="00FA4F65">
        <w:rPr>
          <w:rFonts w:cs="Times New Roman"/>
        </w:rPr>
        <w:t xml:space="preserve"> </w:t>
      </w:r>
      <w:r w:rsidR="007237E2" w:rsidRPr="00FA4F65">
        <w:rPr>
          <w:rFonts w:cs="Times New Roman"/>
        </w:rPr>
        <w:t>‘</w:t>
      </w:r>
      <w:r w:rsidR="00B16137" w:rsidRPr="00FA4F65">
        <w:rPr>
          <w:rFonts w:cs="Times New Roman"/>
        </w:rPr>
        <w:t>victims</w:t>
      </w:r>
      <w:r w:rsidR="007237E2" w:rsidRPr="00FA4F65">
        <w:rPr>
          <w:rFonts w:cs="Times New Roman"/>
        </w:rPr>
        <w:t>’</w:t>
      </w:r>
      <w:r w:rsidR="003A1542" w:rsidRPr="00FA4F65">
        <w:rPr>
          <w:rFonts w:cs="Times New Roman"/>
        </w:rPr>
        <w:t>.</w:t>
      </w:r>
      <w:r w:rsidR="003A1542" w:rsidRPr="00FA4F65">
        <w:rPr>
          <w:rStyle w:val="FootnoteReference"/>
          <w:rFonts w:cs="Times New Roman"/>
        </w:rPr>
        <w:footnoteReference w:id="48"/>
      </w:r>
      <w:r w:rsidR="003A1542" w:rsidRPr="00FA4F65">
        <w:rPr>
          <w:rFonts w:cs="Times New Roman"/>
        </w:rPr>
        <w:t xml:space="preserve"> </w:t>
      </w:r>
    </w:p>
    <w:p w:rsidR="00DB50E2" w:rsidRPr="00E95339" w:rsidRDefault="009E16F5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  <w:i/>
          <w:lang w:val="fr-FR"/>
        </w:rPr>
        <w:t>«</w:t>
      </w:r>
      <w:r w:rsidR="00AC70A9" w:rsidRPr="00FA4F65">
        <w:rPr>
          <w:rFonts w:cs="Times New Roman"/>
          <w:i/>
          <w:lang w:val="fr-FR"/>
        </w:rPr>
        <w:t> </w:t>
      </w:r>
      <w:r w:rsidRPr="00FA4F65">
        <w:rPr>
          <w:rFonts w:cs="Times New Roman"/>
          <w:i/>
          <w:lang w:val="fr-FR"/>
        </w:rPr>
        <w:t>Liberté</w:t>
      </w:r>
      <w:r w:rsidR="001D3A2C" w:rsidRPr="00FA4F65">
        <w:rPr>
          <w:rFonts w:cs="Times New Roman"/>
          <w:i/>
          <w:lang w:val="fr-FR"/>
        </w:rPr>
        <w:t xml:space="preserve"> </w:t>
      </w:r>
      <w:r w:rsidRPr="00FA4F65">
        <w:rPr>
          <w:rFonts w:cs="Times New Roman"/>
          <w:i/>
          <w:lang w:val="fr-FR"/>
        </w:rPr>
        <w:t>! liberté</w:t>
      </w:r>
      <w:r w:rsidR="001D3A2C" w:rsidRPr="00FA4F65">
        <w:rPr>
          <w:rFonts w:cs="Times New Roman"/>
          <w:i/>
          <w:lang w:val="fr-FR"/>
        </w:rPr>
        <w:t xml:space="preserve"> </w:t>
      </w:r>
      <w:r w:rsidRPr="00FA4F65">
        <w:rPr>
          <w:rFonts w:cs="Times New Roman"/>
          <w:i/>
          <w:lang w:val="fr-FR"/>
        </w:rPr>
        <w:t>! soutiens-moi</w:t>
      </w:r>
      <w:r w:rsidR="00AC70A9" w:rsidRPr="00FA4F65">
        <w:rPr>
          <w:rFonts w:cs="Times New Roman"/>
          <w:i/>
          <w:lang w:val="fr-FR"/>
        </w:rPr>
        <w:t> </w:t>
      </w:r>
      <w:r w:rsidRPr="00FA4F65">
        <w:rPr>
          <w:rFonts w:cs="Times New Roman"/>
          <w:i/>
          <w:lang w:val="fr-FR"/>
        </w:rPr>
        <w:t>»</w:t>
      </w:r>
      <w:r w:rsidRPr="00FA4F65">
        <w:rPr>
          <w:rStyle w:val="FootnoteReference"/>
          <w:rFonts w:cs="Times New Roman"/>
          <w:lang w:val="fr-FR"/>
        </w:rPr>
        <w:footnoteReference w:id="49"/>
      </w:r>
      <w:r w:rsidRPr="00FA4F65">
        <w:rPr>
          <w:rFonts w:cs="Times New Roman"/>
          <w:lang w:val="fr-FR"/>
        </w:rPr>
        <w:t xml:space="preserve"> cries Dorval towards the end of </w:t>
      </w:r>
      <w:r w:rsidRPr="00FA4F65">
        <w:rPr>
          <w:rFonts w:cs="Times New Roman"/>
          <w:i/>
          <w:lang w:val="fr-FR"/>
        </w:rPr>
        <w:t>Les Victimes Cloitrées</w:t>
      </w:r>
      <w:r w:rsidRPr="00FA4F65">
        <w:rPr>
          <w:rFonts w:cs="Times New Roman"/>
          <w:lang w:val="fr-FR"/>
        </w:rPr>
        <w:t xml:space="preserve">. </w:t>
      </w:r>
      <w:r w:rsidRPr="00FA4F65">
        <w:rPr>
          <w:rFonts w:cs="Times New Roman"/>
        </w:rPr>
        <w:t xml:space="preserve">This is a clear example of Revolutionary </w:t>
      </w:r>
      <w:r w:rsidR="007237E2" w:rsidRPr="00FA4F65">
        <w:rPr>
          <w:rFonts w:cs="Times New Roman"/>
        </w:rPr>
        <w:t>rhetoric b</w:t>
      </w:r>
      <w:r w:rsidR="00AD102C" w:rsidRPr="00FA4F65">
        <w:rPr>
          <w:rFonts w:cs="Times New Roman"/>
        </w:rPr>
        <w:t>eing used in theatre. Liberty becomes</w:t>
      </w:r>
      <w:r w:rsidR="007237E2" w:rsidRPr="00FA4F65">
        <w:rPr>
          <w:rFonts w:cs="Times New Roman"/>
        </w:rPr>
        <w:t xml:space="preserve"> a Goddess-like figure</w:t>
      </w:r>
      <w:r w:rsidRPr="00FA4F65">
        <w:rPr>
          <w:rFonts w:cs="Times New Roman"/>
        </w:rPr>
        <w:t xml:space="preserve"> who rescue</w:t>
      </w:r>
      <w:r w:rsidR="00AD102C" w:rsidRPr="00FA4F65">
        <w:rPr>
          <w:rFonts w:cs="Times New Roman"/>
        </w:rPr>
        <w:t>s victims</w:t>
      </w:r>
      <w:r w:rsidRPr="00FA4F65">
        <w:rPr>
          <w:rFonts w:cs="Times New Roman"/>
        </w:rPr>
        <w:t xml:space="preserve"> subjected to </w:t>
      </w:r>
      <w:r w:rsidR="00192DB8">
        <w:rPr>
          <w:rFonts w:cs="Times New Roman"/>
          <w:i/>
        </w:rPr>
        <w:t>a</w:t>
      </w:r>
      <w:r w:rsidRPr="00FA4F65">
        <w:rPr>
          <w:rFonts w:cs="Times New Roman"/>
          <w:i/>
        </w:rPr>
        <w:t xml:space="preserve">ncien </w:t>
      </w:r>
      <w:r w:rsidR="00192DB8">
        <w:rPr>
          <w:rFonts w:cs="Times New Roman"/>
          <w:i/>
        </w:rPr>
        <w:t>r</w:t>
      </w:r>
      <w:r w:rsidRPr="00FA4F65">
        <w:rPr>
          <w:rFonts w:cs="Times New Roman"/>
          <w:i/>
        </w:rPr>
        <w:t>égime</w:t>
      </w:r>
      <w:r w:rsidR="00B041AC" w:rsidRPr="00FA4F65">
        <w:rPr>
          <w:rFonts w:cs="Times New Roman"/>
        </w:rPr>
        <w:t xml:space="preserve"> oppression</w:t>
      </w:r>
      <w:r w:rsidRPr="00FA4F65">
        <w:rPr>
          <w:rFonts w:cs="Times New Roman"/>
        </w:rPr>
        <w:t xml:space="preserve">. </w:t>
      </w:r>
      <w:r w:rsidR="00EC77B1" w:rsidRPr="00FA4F65">
        <w:rPr>
          <w:rFonts w:cs="Times New Roman"/>
        </w:rPr>
        <w:t>Interestingly, Dorval uses the familiar, ‘</w:t>
      </w:r>
      <w:r w:rsidR="00EC77B1" w:rsidRPr="00FA4F65">
        <w:rPr>
          <w:rFonts w:cs="Times New Roman"/>
          <w:i/>
        </w:rPr>
        <w:t>tu</w:t>
      </w:r>
      <w:r w:rsidR="00EC77B1" w:rsidRPr="00FA4F65">
        <w:rPr>
          <w:rFonts w:cs="Times New Roman"/>
        </w:rPr>
        <w:t>’</w:t>
      </w:r>
      <w:r w:rsidR="00EC77B1" w:rsidRPr="00FA4F65">
        <w:rPr>
          <w:rFonts w:cs="Times New Roman"/>
          <w:i/>
        </w:rPr>
        <w:t xml:space="preserve"> </w:t>
      </w:r>
      <w:r w:rsidR="00EC77B1" w:rsidRPr="00FA4F65">
        <w:rPr>
          <w:rFonts w:cs="Times New Roman"/>
        </w:rPr>
        <w:t>form of the imperative</w:t>
      </w:r>
      <w:r w:rsidR="00001397">
        <w:rPr>
          <w:rFonts w:cs="Times New Roman"/>
        </w:rPr>
        <w:t xml:space="preserve"> which</w:t>
      </w:r>
      <w:r w:rsidR="00EC77B1" w:rsidRPr="00FA4F65">
        <w:rPr>
          <w:rFonts w:cs="Times New Roman"/>
        </w:rPr>
        <w:t xml:space="preserve"> </w:t>
      </w:r>
      <w:r w:rsidR="00001397">
        <w:rPr>
          <w:rFonts w:cs="Times New Roman"/>
        </w:rPr>
        <w:t xml:space="preserve">appears to </w:t>
      </w:r>
      <w:r w:rsidR="00EC77B1" w:rsidRPr="00FA4F65">
        <w:rPr>
          <w:rFonts w:cs="Times New Roman"/>
        </w:rPr>
        <w:t xml:space="preserve">emphasise his desperation but </w:t>
      </w:r>
      <w:r w:rsidR="00001397">
        <w:rPr>
          <w:rFonts w:cs="Times New Roman"/>
        </w:rPr>
        <w:t>arguably also</w:t>
      </w:r>
      <w:r w:rsidR="00EC77B1" w:rsidRPr="00FA4F65">
        <w:rPr>
          <w:rFonts w:cs="Times New Roman"/>
        </w:rPr>
        <w:t xml:space="preserve"> suggests misogynist undertones: being female, liberty must respond to man’s ap</w:t>
      </w:r>
      <w:r w:rsidR="00001397">
        <w:rPr>
          <w:rFonts w:cs="Times New Roman"/>
        </w:rPr>
        <w:t>peals, as opposed to reacting of</w:t>
      </w:r>
      <w:r w:rsidR="00EC77B1" w:rsidRPr="00FA4F65">
        <w:rPr>
          <w:rFonts w:cs="Times New Roman"/>
        </w:rPr>
        <w:t xml:space="preserve"> her own accord. Liberty is also treated as a saviour</w:t>
      </w:r>
      <w:r w:rsidRPr="00FA4F65">
        <w:rPr>
          <w:rFonts w:cs="Times New Roman"/>
        </w:rPr>
        <w:t xml:space="preserve"> in </w:t>
      </w:r>
      <w:r w:rsidRPr="00FA4F65">
        <w:rPr>
          <w:rFonts w:cs="Times New Roman"/>
          <w:i/>
        </w:rPr>
        <w:t>Les Dragons et les Benedictines</w:t>
      </w:r>
      <w:r w:rsidRPr="00FA4F65">
        <w:rPr>
          <w:rFonts w:cs="Times New Roman"/>
        </w:rPr>
        <w:t xml:space="preserve"> where </w:t>
      </w:r>
      <w:r w:rsidR="00001397" w:rsidRPr="00001397">
        <w:rPr>
          <w:rFonts w:cs="Times New Roman"/>
          <w:lang w:val="fr-FR"/>
        </w:rPr>
        <w:t>Sœur</w:t>
      </w:r>
      <w:r w:rsidRPr="00FA4F65">
        <w:rPr>
          <w:rFonts w:cs="Times New Roman"/>
        </w:rPr>
        <w:t xml:space="preserve"> Sainte-Claire announces s</w:t>
      </w:r>
      <w:r w:rsidR="0091667E" w:rsidRPr="00FA4F65">
        <w:rPr>
          <w:rFonts w:cs="Times New Roman"/>
        </w:rPr>
        <w:t>he plans on leaving the convent, with</w:t>
      </w:r>
      <w:r w:rsidRPr="00FA4F65">
        <w:rPr>
          <w:rFonts w:cs="Times New Roman"/>
        </w:rPr>
        <w:t xml:space="preserve"> </w:t>
      </w:r>
      <w:r w:rsidRPr="00FA4F65">
        <w:rPr>
          <w:rFonts w:cs="Times New Roman"/>
          <w:i/>
        </w:rPr>
        <w:t>«</w:t>
      </w:r>
      <w:r w:rsidR="00AC70A9" w:rsidRPr="00FA4F65">
        <w:rPr>
          <w:rFonts w:cs="Times New Roman"/>
          <w:i/>
        </w:rPr>
        <w:t> </w:t>
      </w:r>
      <w:r w:rsidRPr="00FA4F65">
        <w:rPr>
          <w:rFonts w:cs="Times New Roman"/>
          <w:i/>
        </w:rPr>
        <w:t>le b</w:t>
      </w:r>
      <w:r w:rsidR="00CE2125" w:rsidRPr="00FA4F65">
        <w:rPr>
          <w:rFonts w:cs="Times New Roman"/>
          <w:i/>
        </w:rPr>
        <w:t>onnet de la liberté sur la tête</w:t>
      </w:r>
      <w:r w:rsidR="00AC70A9" w:rsidRPr="00FA4F65">
        <w:rPr>
          <w:rFonts w:cs="Times New Roman"/>
          <w:i/>
        </w:rPr>
        <w:t> </w:t>
      </w:r>
      <w:r w:rsidRPr="00FA4F65">
        <w:rPr>
          <w:rFonts w:cs="Times New Roman"/>
          <w:i/>
        </w:rPr>
        <w:t>».</w:t>
      </w:r>
      <w:r w:rsidRPr="00FA4F65">
        <w:rPr>
          <w:rStyle w:val="FootnoteReference"/>
          <w:rFonts w:cs="Times New Roman"/>
          <w:lang w:val="fr-FR"/>
        </w:rPr>
        <w:footnoteReference w:id="50"/>
      </w:r>
      <w:r w:rsidR="00CE2125" w:rsidRPr="00FA4F65">
        <w:rPr>
          <w:rFonts w:cs="Times New Roman"/>
        </w:rPr>
        <w:t xml:space="preserve"> The </w:t>
      </w:r>
      <w:r w:rsidR="003D7FE0" w:rsidRPr="00FA4F65">
        <w:rPr>
          <w:rFonts w:cs="Times New Roman"/>
        </w:rPr>
        <w:t>Phrygian</w:t>
      </w:r>
      <w:r w:rsidR="00CE2125" w:rsidRPr="00FA4F65">
        <w:rPr>
          <w:rFonts w:cs="Times New Roman"/>
        </w:rPr>
        <w:t xml:space="preserve"> bonnet had become </w:t>
      </w:r>
      <w:r w:rsidR="00B16137" w:rsidRPr="00FA4F65">
        <w:rPr>
          <w:rFonts w:cs="Times New Roman"/>
        </w:rPr>
        <w:t>such an</w:t>
      </w:r>
      <w:r w:rsidR="00825C76" w:rsidRPr="00FA4F65">
        <w:rPr>
          <w:rFonts w:cs="Times New Roman"/>
        </w:rPr>
        <w:t xml:space="preserve"> important </w:t>
      </w:r>
      <w:r w:rsidR="003D7FE0" w:rsidRPr="00FA4F65">
        <w:rPr>
          <w:rFonts w:cs="Times New Roman"/>
        </w:rPr>
        <w:t>symbol of liberty during the French Revolution</w:t>
      </w:r>
      <w:r w:rsidR="00B16137" w:rsidRPr="00FA4F65">
        <w:rPr>
          <w:rFonts w:cs="Times New Roman"/>
        </w:rPr>
        <w:t xml:space="preserve"> that</w:t>
      </w:r>
      <w:r w:rsidR="00CE2125" w:rsidRPr="00FA4F65">
        <w:rPr>
          <w:rFonts w:cs="Times New Roman"/>
        </w:rPr>
        <w:t xml:space="preserve"> in </w:t>
      </w:r>
      <w:r w:rsidR="003D7FE0" w:rsidRPr="00FA4F65">
        <w:rPr>
          <w:rFonts w:cs="Times New Roman"/>
        </w:rPr>
        <w:t xml:space="preserve">June </w:t>
      </w:r>
      <w:r w:rsidR="00CE2125" w:rsidRPr="00FA4F65">
        <w:rPr>
          <w:rFonts w:cs="Times New Roman"/>
        </w:rPr>
        <w:t>1792 Louis XVI</w:t>
      </w:r>
      <w:r w:rsidR="003D7FE0" w:rsidRPr="00FA4F65">
        <w:rPr>
          <w:rFonts w:cs="Times New Roman"/>
        </w:rPr>
        <w:t xml:space="preserve"> was obliged to don it</w:t>
      </w:r>
      <w:r w:rsidR="00CE2125" w:rsidRPr="00FA4F65">
        <w:rPr>
          <w:rFonts w:cs="Times New Roman"/>
        </w:rPr>
        <w:t xml:space="preserve"> </w:t>
      </w:r>
      <w:r w:rsidR="003D7FE0" w:rsidRPr="00FA4F65">
        <w:rPr>
          <w:rFonts w:cs="Times New Roman"/>
        </w:rPr>
        <w:t>in order to appease demonstrators</w:t>
      </w:r>
      <w:r w:rsidR="007237E2" w:rsidRPr="00FA4F65">
        <w:rPr>
          <w:rFonts w:cs="Times New Roman"/>
        </w:rPr>
        <w:t>; t</w:t>
      </w:r>
      <w:r w:rsidR="00B041AC" w:rsidRPr="00FA4F65">
        <w:rPr>
          <w:rFonts w:cs="Times New Roman"/>
        </w:rPr>
        <w:t>o see it used in theatre further stresses the mixing of politics and culture</w:t>
      </w:r>
      <w:r w:rsidR="003D7FE0" w:rsidRPr="00FA4F65">
        <w:rPr>
          <w:rFonts w:cs="Times New Roman"/>
        </w:rPr>
        <w:t>.</w:t>
      </w:r>
      <w:r w:rsidRPr="00FA4F65">
        <w:rPr>
          <w:rFonts w:cs="Times New Roman"/>
        </w:rPr>
        <w:t xml:space="preserve"> </w:t>
      </w:r>
      <w:r w:rsidR="00B041AC" w:rsidRPr="00FA4F65">
        <w:rPr>
          <w:rFonts w:cs="Times New Roman"/>
        </w:rPr>
        <w:t>A</w:t>
      </w:r>
      <w:r w:rsidR="00937DCD" w:rsidRPr="00FA4F65">
        <w:rPr>
          <w:rFonts w:cs="Times New Roman"/>
        </w:rPr>
        <w:t>s the Revolution progressed</w:t>
      </w:r>
      <w:r w:rsidR="00B16137" w:rsidRPr="00FA4F65">
        <w:rPr>
          <w:rFonts w:cs="Times New Roman"/>
        </w:rPr>
        <w:t xml:space="preserve"> the allegorical figure, </w:t>
      </w:r>
      <w:r w:rsidR="00177523" w:rsidRPr="00FA4F65">
        <w:rPr>
          <w:rFonts w:cs="Times New Roman"/>
        </w:rPr>
        <w:t>Marianne</w:t>
      </w:r>
      <w:r w:rsidR="00B16137" w:rsidRPr="00FA4F65">
        <w:rPr>
          <w:rFonts w:cs="Times New Roman"/>
        </w:rPr>
        <w:t>,</w:t>
      </w:r>
      <w:r w:rsidR="00B041AC" w:rsidRPr="00FA4F65">
        <w:rPr>
          <w:rFonts w:cs="Times New Roman"/>
        </w:rPr>
        <w:t xml:space="preserve"> became more prominent. </w:t>
      </w:r>
      <w:r w:rsidR="00EE019D" w:rsidRPr="00FA4F65">
        <w:rPr>
          <w:rFonts w:cs="Times New Roman"/>
        </w:rPr>
        <w:t xml:space="preserve">Landes suggests </w:t>
      </w:r>
      <w:r w:rsidR="00B041AC" w:rsidRPr="00FA4F65">
        <w:rPr>
          <w:rFonts w:cs="Times New Roman"/>
        </w:rPr>
        <w:t xml:space="preserve">this </w:t>
      </w:r>
      <w:r w:rsidR="00EE019D" w:rsidRPr="00FA4F65">
        <w:rPr>
          <w:rFonts w:cs="Times New Roman"/>
        </w:rPr>
        <w:t>was to replace the ‘masculine visage of the monarch’.</w:t>
      </w:r>
      <w:r w:rsidR="00EE019D" w:rsidRPr="00FA4F65">
        <w:rPr>
          <w:rStyle w:val="FootnoteReference"/>
          <w:rFonts w:cs="Times New Roman"/>
        </w:rPr>
        <w:footnoteReference w:id="51"/>
      </w:r>
      <w:r w:rsidR="00B041AC" w:rsidRPr="00FA4F65">
        <w:rPr>
          <w:rFonts w:cs="Times New Roman"/>
        </w:rPr>
        <w:t xml:space="preserve"> Convent theatre </w:t>
      </w:r>
      <w:r w:rsidR="00AD102C" w:rsidRPr="00FA4F65">
        <w:rPr>
          <w:rFonts w:cs="Times New Roman"/>
        </w:rPr>
        <w:t>thus provides a hugely valuable resource when</w:t>
      </w:r>
      <w:r w:rsidR="00B041AC" w:rsidRPr="00FA4F65">
        <w:rPr>
          <w:rFonts w:cs="Times New Roman"/>
        </w:rPr>
        <w:t xml:space="preserve"> discussing gender and the Revolution</w:t>
      </w:r>
      <w:r w:rsidR="00AD102C" w:rsidRPr="00FA4F65">
        <w:rPr>
          <w:rFonts w:cs="Times New Roman"/>
        </w:rPr>
        <w:t xml:space="preserve"> and the focus of the following chapter</w:t>
      </w:r>
      <w:r w:rsidR="00B041AC" w:rsidRPr="00FA4F65">
        <w:rPr>
          <w:rFonts w:cs="Times New Roman"/>
        </w:rPr>
        <w:t xml:space="preserve">. </w:t>
      </w:r>
      <w:r w:rsidR="00E95339">
        <w:rPr>
          <w:rFonts w:cs="Times New Roman"/>
        </w:rPr>
        <w:t xml:space="preserve">We can thus conclude that we can describe the plays as revolutionary for promoting some of the Revolution’s ideals; but they are not themselves revolutionary, that is to say, they do not suggest any new ideological ideas. </w:t>
      </w:r>
    </w:p>
    <w:p w:rsidR="00453698" w:rsidRPr="00FA4F65" w:rsidRDefault="00453698" w:rsidP="00C10F99">
      <w:pPr>
        <w:spacing w:line="480" w:lineRule="auto"/>
        <w:jc w:val="both"/>
        <w:rPr>
          <w:rFonts w:cs="Times New Roman"/>
        </w:rPr>
      </w:pPr>
    </w:p>
    <w:p w:rsidR="00177523" w:rsidRPr="00FA4F65" w:rsidRDefault="00A20D68" w:rsidP="00A20D68">
      <w:pPr>
        <w:pStyle w:val="Heading3"/>
        <w:spacing w:line="480" w:lineRule="auto"/>
        <w:jc w:val="center"/>
        <w:rPr>
          <w:rFonts w:cs="Times New Roman"/>
        </w:rPr>
      </w:pPr>
      <w:r w:rsidRPr="00FA4F65">
        <w:rPr>
          <w:rFonts w:cs="Times New Roman"/>
        </w:rPr>
        <w:t>Women and Convent Theatre</w:t>
      </w:r>
    </w:p>
    <w:p w:rsidR="003C4E66" w:rsidRPr="00FA4F65" w:rsidRDefault="00177523" w:rsidP="00267BB3">
      <w:pPr>
        <w:spacing w:line="480" w:lineRule="auto"/>
        <w:ind w:firstLine="720"/>
        <w:jc w:val="both"/>
        <w:rPr>
          <w:rFonts w:cs="Times New Roman"/>
          <w:i/>
        </w:rPr>
      </w:pPr>
      <w:r w:rsidRPr="00FA4F65">
        <w:rPr>
          <w:rFonts w:cs="Times New Roman"/>
        </w:rPr>
        <w:t>The fact that a focal point of these plays was the liberation of women does not mean that they were revolutionary in terms of gender equality.</w:t>
      </w:r>
      <w:r w:rsidR="00892444" w:rsidRPr="00FA4F65">
        <w:rPr>
          <w:rFonts w:cs="Times New Roman"/>
        </w:rPr>
        <w:t xml:space="preserve"> After all,</w:t>
      </w:r>
      <w:r w:rsidRPr="00FA4F65">
        <w:rPr>
          <w:rFonts w:cs="Times New Roman"/>
        </w:rPr>
        <w:t xml:space="preserve"> </w:t>
      </w:r>
      <w:r w:rsidR="003D7FE0" w:rsidRPr="00FA4F65">
        <w:rPr>
          <w:rFonts w:cs="Times New Roman"/>
        </w:rPr>
        <w:t>‘</w:t>
      </w:r>
      <w:r w:rsidR="00892444" w:rsidRPr="00FA4F65">
        <w:rPr>
          <w:rFonts w:cs="Times New Roman"/>
        </w:rPr>
        <w:t>“l</w:t>
      </w:r>
      <w:r w:rsidRPr="00FA4F65">
        <w:rPr>
          <w:rFonts w:cs="Times New Roman"/>
        </w:rPr>
        <w:t>iberty is not represented as a woman… because women were or are free.”’</w:t>
      </w:r>
      <w:r w:rsidRPr="00FA4F65">
        <w:rPr>
          <w:rStyle w:val="FootnoteReference"/>
          <w:rFonts w:cs="Times New Roman"/>
        </w:rPr>
        <w:footnoteReference w:id="52"/>
      </w:r>
      <w:r w:rsidR="00385A5B" w:rsidRPr="00FA4F65">
        <w:rPr>
          <w:rFonts w:cs="Times New Roman"/>
        </w:rPr>
        <w:t xml:space="preserve"> </w:t>
      </w:r>
      <w:r w:rsidR="00DA0656" w:rsidRPr="00FA4F65">
        <w:rPr>
          <w:rFonts w:cs="Times New Roman"/>
        </w:rPr>
        <w:t xml:space="preserve">Despite the revolutionary </w:t>
      </w:r>
      <w:r w:rsidR="00B041AC" w:rsidRPr="00FA4F65">
        <w:rPr>
          <w:rFonts w:cs="Times New Roman"/>
        </w:rPr>
        <w:t>rhetoric calling for equality, w</w:t>
      </w:r>
      <w:r w:rsidR="00DA0656" w:rsidRPr="00FA4F65">
        <w:rPr>
          <w:rFonts w:cs="Times New Roman"/>
        </w:rPr>
        <w:t xml:space="preserve">omen were denied rights </w:t>
      </w:r>
      <w:r w:rsidR="00B041AC" w:rsidRPr="00FA4F65">
        <w:rPr>
          <w:rFonts w:cs="Times New Roman"/>
        </w:rPr>
        <w:t>in both the 1791 and 1793 constitutions</w:t>
      </w:r>
      <w:r w:rsidR="00AD102C" w:rsidRPr="00FA4F65">
        <w:rPr>
          <w:rFonts w:cs="Times New Roman"/>
        </w:rPr>
        <w:t>. The inequality is dem</w:t>
      </w:r>
      <w:r w:rsidR="00560536" w:rsidRPr="00FA4F65">
        <w:rPr>
          <w:rFonts w:cs="Times New Roman"/>
        </w:rPr>
        <w:t xml:space="preserve">onstrated in the </w:t>
      </w:r>
      <w:r w:rsidR="00545716" w:rsidRPr="00FA4F65">
        <w:rPr>
          <w:rFonts w:cs="Times New Roman"/>
        </w:rPr>
        <w:t>plays;</w:t>
      </w:r>
      <w:r w:rsidR="00560536" w:rsidRPr="00FA4F65">
        <w:rPr>
          <w:rFonts w:cs="Times New Roman"/>
        </w:rPr>
        <w:t xml:space="preserve"> however, it is depicted more so as factual than a political stance calling for women’s rights.</w:t>
      </w:r>
      <w:r w:rsidR="00B041AC" w:rsidRPr="00FA4F65">
        <w:rPr>
          <w:rFonts w:cs="Times New Roman"/>
        </w:rPr>
        <w:t xml:space="preserve"> </w:t>
      </w:r>
      <w:r w:rsidR="00B041AC" w:rsidRPr="00FA4F65">
        <w:rPr>
          <w:rFonts w:cs="Times New Roman"/>
          <w:lang w:val="fr-FR"/>
        </w:rPr>
        <w:t xml:space="preserve">In fact, de Gouges’ </w:t>
      </w:r>
      <w:r w:rsidR="00B041AC" w:rsidRPr="00FA4F65">
        <w:rPr>
          <w:rFonts w:cs="Times New Roman"/>
          <w:i/>
          <w:lang w:val="fr-FR"/>
        </w:rPr>
        <w:t>Le Couvent</w:t>
      </w:r>
      <w:r w:rsidR="00560536" w:rsidRPr="00FA4F65">
        <w:rPr>
          <w:rFonts w:cs="Times New Roman"/>
          <w:lang w:val="fr-FR"/>
        </w:rPr>
        <w:t xml:space="preserve"> hardly reflects the sentiment depicted in her</w:t>
      </w:r>
      <w:r w:rsidR="00B041AC" w:rsidRPr="00FA4F65">
        <w:rPr>
          <w:rFonts w:cs="Times New Roman"/>
          <w:lang w:val="fr-FR"/>
        </w:rPr>
        <w:t xml:space="preserve"> 1791 </w:t>
      </w:r>
      <w:r w:rsidR="003C4E66" w:rsidRPr="00FA4F65">
        <w:rPr>
          <w:rFonts w:cs="Times New Roman"/>
          <w:i/>
          <w:lang w:val="fr-FR"/>
        </w:rPr>
        <w:t>D</w:t>
      </w:r>
      <w:r w:rsidR="00584DF3" w:rsidRPr="00FA4F65">
        <w:rPr>
          <w:rFonts w:cs="Times New Roman"/>
          <w:i/>
          <w:lang w:val="fr-FR"/>
        </w:rPr>
        <w:t>é</w:t>
      </w:r>
      <w:r w:rsidR="003C4E66" w:rsidRPr="00FA4F65">
        <w:rPr>
          <w:rFonts w:cs="Times New Roman"/>
          <w:i/>
          <w:lang w:val="fr-FR"/>
        </w:rPr>
        <w:t>claration pour les droits de femmes</w:t>
      </w:r>
      <w:r w:rsidR="003C4E66" w:rsidRPr="00FA4F65">
        <w:rPr>
          <w:rFonts w:cs="Times New Roman"/>
          <w:lang w:val="fr-FR"/>
        </w:rPr>
        <w:t xml:space="preserve">. </w:t>
      </w:r>
      <w:r w:rsidR="00560536" w:rsidRPr="00FA4F65">
        <w:rPr>
          <w:rFonts w:cs="Times New Roman"/>
        </w:rPr>
        <w:t>However,</w:t>
      </w:r>
      <w:r w:rsidR="003C4E66" w:rsidRPr="00FA4F65">
        <w:rPr>
          <w:rFonts w:cs="Times New Roman"/>
        </w:rPr>
        <w:t xml:space="preserve"> the theatre was arguably the most important means by which writers co</w:t>
      </w:r>
      <w:r w:rsidR="00DC322D" w:rsidRPr="00FA4F65">
        <w:rPr>
          <w:rFonts w:cs="Times New Roman"/>
        </w:rPr>
        <w:t>uld make a name for themselves</w:t>
      </w:r>
      <w:r w:rsidR="00560536" w:rsidRPr="00FA4F65">
        <w:rPr>
          <w:rFonts w:cs="Times New Roman"/>
        </w:rPr>
        <w:t xml:space="preserve">: </w:t>
      </w:r>
      <w:r w:rsidR="003C4E66" w:rsidRPr="00FA4F65">
        <w:rPr>
          <w:rFonts w:cs="Times New Roman"/>
        </w:rPr>
        <w:t xml:space="preserve">perhaps by producing a play which would please </w:t>
      </w:r>
      <w:r w:rsidR="00560536" w:rsidRPr="00FA4F65">
        <w:rPr>
          <w:rFonts w:cs="Times New Roman"/>
        </w:rPr>
        <w:t>revolutionaries</w:t>
      </w:r>
      <w:r w:rsidR="00DC322D" w:rsidRPr="00FA4F65">
        <w:rPr>
          <w:rFonts w:cs="Times New Roman"/>
        </w:rPr>
        <w:t>, de Gouges</w:t>
      </w:r>
      <w:r w:rsidR="003C1CCD" w:rsidRPr="00FA4F65">
        <w:rPr>
          <w:rFonts w:cs="Times New Roman"/>
        </w:rPr>
        <w:t xml:space="preserve"> would have</w:t>
      </w:r>
      <w:r w:rsidR="00560536" w:rsidRPr="00FA4F65">
        <w:rPr>
          <w:rFonts w:cs="Times New Roman"/>
        </w:rPr>
        <w:t xml:space="preserve"> had</w:t>
      </w:r>
      <w:r w:rsidR="003C1CCD" w:rsidRPr="00FA4F65">
        <w:rPr>
          <w:rFonts w:cs="Times New Roman"/>
        </w:rPr>
        <w:t xml:space="preserve"> more of a voice with regards to gender equality. </w:t>
      </w:r>
      <w:r w:rsidR="008D5204" w:rsidRPr="00FA4F65">
        <w:rPr>
          <w:rFonts w:cs="Times New Roman"/>
        </w:rPr>
        <w:t xml:space="preserve">Certainly ‘there can be no doubt about </w:t>
      </w:r>
      <w:r w:rsidR="00B16137" w:rsidRPr="00FA4F65">
        <w:rPr>
          <w:rFonts w:cs="Times New Roman"/>
        </w:rPr>
        <w:t>[her] ardent feminism</w:t>
      </w:r>
      <w:r w:rsidR="00560536" w:rsidRPr="00FA4F65">
        <w:rPr>
          <w:rFonts w:cs="Times New Roman"/>
        </w:rPr>
        <w:t>’ by the time of</w:t>
      </w:r>
      <w:r w:rsidR="00DC322D" w:rsidRPr="00FA4F65">
        <w:rPr>
          <w:rFonts w:cs="Times New Roman"/>
        </w:rPr>
        <w:t xml:space="preserve"> her exec</w:t>
      </w:r>
      <w:r w:rsidR="00EC4DC5" w:rsidRPr="00FA4F65">
        <w:rPr>
          <w:rFonts w:cs="Times New Roman"/>
        </w:rPr>
        <w:t>ution in 1793</w:t>
      </w:r>
      <w:r w:rsidR="00560536" w:rsidRPr="00FA4F65">
        <w:rPr>
          <w:rFonts w:cs="Times New Roman"/>
        </w:rPr>
        <w:t xml:space="preserve"> which Abray highlights</w:t>
      </w:r>
      <w:r w:rsidR="00EC4DC5" w:rsidRPr="00FA4F65">
        <w:rPr>
          <w:rFonts w:cs="Times New Roman"/>
        </w:rPr>
        <w:t xml:space="preserve"> ‘</w:t>
      </w:r>
      <w:r w:rsidR="008D5204" w:rsidRPr="00FA4F65">
        <w:rPr>
          <w:rFonts w:cs="Times New Roman"/>
        </w:rPr>
        <w:t>was not without its significance as a gesture of repression towards the feminists’.</w:t>
      </w:r>
      <w:r w:rsidR="008D5204" w:rsidRPr="00FA4F65">
        <w:rPr>
          <w:rStyle w:val="FootnoteReference"/>
          <w:rFonts w:cs="Times New Roman"/>
        </w:rPr>
        <w:footnoteReference w:id="53"/>
      </w:r>
    </w:p>
    <w:p w:rsidR="006A17B1" w:rsidRPr="00FA4F65" w:rsidRDefault="006A17B1" w:rsidP="00267BB3">
      <w:pPr>
        <w:spacing w:line="480" w:lineRule="auto"/>
        <w:ind w:firstLine="567"/>
        <w:jc w:val="both"/>
        <w:rPr>
          <w:rFonts w:cs="Times New Roman"/>
        </w:rPr>
      </w:pPr>
      <w:r w:rsidRPr="00FA4F65">
        <w:rPr>
          <w:rFonts w:cs="Times New Roman"/>
        </w:rPr>
        <w:t xml:space="preserve">Levy and Applewhite suggest that </w:t>
      </w:r>
      <w:r w:rsidR="00385A5B" w:rsidRPr="00FA4F65">
        <w:rPr>
          <w:rFonts w:cs="Times New Roman"/>
        </w:rPr>
        <w:t xml:space="preserve">during the French Revolution biological and political discourse created </w:t>
      </w:r>
      <w:r w:rsidR="00825C76" w:rsidRPr="00FA4F65">
        <w:rPr>
          <w:rFonts w:cs="Times New Roman"/>
        </w:rPr>
        <w:t>scientifically justifiable</w:t>
      </w:r>
      <w:r w:rsidR="00385A5B" w:rsidRPr="00FA4F65">
        <w:rPr>
          <w:rFonts w:cs="Times New Roman"/>
        </w:rPr>
        <w:t xml:space="preserve"> distinction</w:t>
      </w:r>
      <w:r w:rsidR="00825C76" w:rsidRPr="00FA4F65">
        <w:rPr>
          <w:rFonts w:cs="Times New Roman"/>
        </w:rPr>
        <w:t>s</w:t>
      </w:r>
      <w:r w:rsidR="00385A5B" w:rsidRPr="00FA4F65">
        <w:rPr>
          <w:rFonts w:cs="Times New Roman"/>
        </w:rPr>
        <w:t xml:space="preserve"> between </w:t>
      </w:r>
      <w:r w:rsidR="00EC4DC5" w:rsidRPr="00FA4F65">
        <w:rPr>
          <w:rFonts w:cs="Times New Roman"/>
        </w:rPr>
        <w:t>the sexes</w:t>
      </w:r>
      <w:r w:rsidRPr="00FA4F65">
        <w:rPr>
          <w:rFonts w:cs="Times New Roman"/>
        </w:rPr>
        <w:t>:</w:t>
      </w:r>
    </w:p>
    <w:p w:rsidR="00385A5B" w:rsidRPr="00FA4F65" w:rsidRDefault="006A17B1" w:rsidP="00C10F99">
      <w:pPr>
        <w:spacing w:line="480" w:lineRule="auto"/>
        <w:ind w:left="567" w:right="521"/>
        <w:jc w:val="both"/>
        <w:rPr>
          <w:rFonts w:cs="Times New Roman"/>
        </w:rPr>
      </w:pPr>
      <w:r w:rsidRPr="00FA4F65">
        <w:rPr>
          <w:rFonts w:cs="Times New Roman"/>
        </w:rPr>
        <w:t>T</w:t>
      </w:r>
      <w:r w:rsidR="00385A5B" w:rsidRPr="00FA4F65">
        <w:rPr>
          <w:rFonts w:cs="Times New Roman"/>
        </w:rPr>
        <w:t>he goals of the revolution</w:t>
      </w:r>
      <w:r w:rsidR="00DC322D" w:rsidRPr="00FA4F65">
        <w:rPr>
          <w:rFonts w:cs="Times New Roman"/>
        </w:rPr>
        <w:t xml:space="preserve"> were, after all, </w:t>
      </w:r>
      <w:r w:rsidR="00385A5B" w:rsidRPr="00FA4F65">
        <w:rPr>
          <w:rFonts w:cs="Times New Roman"/>
        </w:rPr>
        <w:t>liberty, sovereignty, moral choice informed by reason, and active involvement in the formation of just laws. All of these were firmly designated male prerogatives, de</w:t>
      </w:r>
      <w:r w:rsidRPr="00FA4F65">
        <w:rPr>
          <w:rFonts w:cs="Times New Roman"/>
        </w:rPr>
        <w:t>fined in contrast to the female:</w:t>
      </w:r>
      <w:r w:rsidRPr="00FA4F65">
        <w:rPr>
          <w:rStyle w:val="FootnoteReference"/>
          <w:rFonts w:cs="Times New Roman"/>
        </w:rPr>
        <w:t xml:space="preserve"> </w:t>
      </w:r>
    </w:p>
    <w:p w:rsidR="00385A5B" w:rsidRPr="00FA4F65" w:rsidRDefault="00385A5B" w:rsidP="00AC70A9">
      <w:pPr>
        <w:spacing w:line="480" w:lineRule="auto"/>
        <w:ind w:left="851" w:right="827"/>
        <w:jc w:val="center"/>
        <w:rPr>
          <w:rFonts w:cs="Times New Roman"/>
        </w:rPr>
      </w:pPr>
      <w:r w:rsidRPr="00FA4F65">
        <w:rPr>
          <w:rFonts w:cs="Times New Roman"/>
        </w:rPr>
        <w:t>Active/Passive, Liberty/Duty, Individual Sovereignty/Dependency, Public/Private, Political/Domestic, Reason/Modestly, Speech/Silence, Education/Maternal Nurture, Universal/Particular, Male/Female</w:t>
      </w:r>
      <w:r w:rsidR="00B87ECB">
        <w:rPr>
          <w:rFonts w:cs="Times New Roman"/>
        </w:rPr>
        <w:t>.</w:t>
      </w:r>
      <w:r w:rsidR="006A17B1" w:rsidRPr="00FA4F65">
        <w:rPr>
          <w:rStyle w:val="FootnoteReference"/>
          <w:rFonts w:cs="Times New Roman"/>
        </w:rPr>
        <w:footnoteReference w:id="54"/>
      </w:r>
    </w:p>
    <w:p w:rsidR="002511EC" w:rsidRPr="00FA4F65" w:rsidRDefault="00DA0656" w:rsidP="00C10F99">
      <w:pPr>
        <w:spacing w:line="480" w:lineRule="auto"/>
        <w:ind w:right="-46"/>
        <w:jc w:val="both"/>
        <w:rPr>
          <w:rFonts w:cs="Times New Roman"/>
        </w:rPr>
      </w:pPr>
      <w:r w:rsidRPr="00FA4F65">
        <w:rPr>
          <w:rFonts w:cs="Times New Roman"/>
        </w:rPr>
        <w:t>Such</w:t>
      </w:r>
      <w:r w:rsidR="00123857" w:rsidRPr="00FA4F65">
        <w:rPr>
          <w:rFonts w:cs="Times New Roman"/>
        </w:rPr>
        <w:t xml:space="preserve"> </w:t>
      </w:r>
      <w:r w:rsidR="00740B04" w:rsidRPr="00FA4F65">
        <w:rPr>
          <w:rFonts w:cs="Times New Roman"/>
        </w:rPr>
        <w:t>gendered rhetoric is clearly depicted in the convent plays. «</w:t>
      </w:r>
      <w:r w:rsidR="00AC70A9" w:rsidRPr="00FA4F65">
        <w:rPr>
          <w:rFonts w:cs="Times New Roman"/>
          <w:i/>
        </w:rPr>
        <w:t> </w:t>
      </w:r>
      <w:r w:rsidR="00740B04" w:rsidRPr="00FA4F65">
        <w:rPr>
          <w:rFonts w:cs="Times New Roman"/>
          <w:i/>
        </w:rPr>
        <w:t>Sexe faible et malheureux</w:t>
      </w:r>
      <w:r w:rsidR="00AC70A9" w:rsidRPr="00FA4F65">
        <w:rPr>
          <w:rFonts w:cs="Times New Roman"/>
          <w:i/>
        </w:rPr>
        <w:t> </w:t>
      </w:r>
      <w:r w:rsidR="00740B04" w:rsidRPr="00FA4F65">
        <w:rPr>
          <w:rFonts w:cs="Times New Roman"/>
        </w:rPr>
        <w:t>»</w:t>
      </w:r>
      <w:r w:rsidR="00A40B15" w:rsidRPr="00FA4F65">
        <w:rPr>
          <w:rStyle w:val="FootnoteReference"/>
          <w:rFonts w:cs="Times New Roman"/>
          <w:lang w:val="fr-FR"/>
        </w:rPr>
        <w:footnoteReference w:id="55"/>
      </w:r>
      <w:r w:rsidR="00740B04" w:rsidRPr="00FA4F65">
        <w:rPr>
          <w:rFonts w:cs="Times New Roman"/>
        </w:rPr>
        <w:t xml:space="preserve"> laments the </w:t>
      </w:r>
      <w:r w:rsidR="00AC70A9" w:rsidRPr="00FA4F65">
        <w:rPr>
          <w:rFonts w:cs="Times New Roman"/>
          <w:i/>
        </w:rPr>
        <w:t>Cur</w:t>
      </w:r>
      <w:r w:rsidR="00FA31E0" w:rsidRPr="00FA4F65">
        <w:rPr>
          <w:rFonts w:cs="Times New Roman"/>
          <w:i/>
        </w:rPr>
        <w:t xml:space="preserve">é </w:t>
      </w:r>
      <w:r w:rsidR="00740B04" w:rsidRPr="00FA4F65">
        <w:rPr>
          <w:rFonts w:cs="Times New Roman"/>
        </w:rPr>
        <w:t>in</w:t>
      </w:r>
      <w:r w:rsidR="00740B04" w:rsidRPr="00FA4F65">
        <w:rPr>
          <w:rFonts w:cs="Times New Roman"/>
          <w:i/>
        </w:rPr>
        <w:t xml:space="preserve"> Le Couvent</w:t>
      </w:r>
      <w:r w:rsidR="003D7FE0" w:rsidRPr="00FA4F65">
        <w:rPr>
          <w:rFonts w:cs="Times New Roman"/>
        </w:rPr>
        <w:t xml:space="preserve"> creating a pathos</w:t>
      </w:r>
      <w:r w:rsidR="00560536" w:rsidRPr="00FA4F65">
        <w:rPr>
          <w:rFonts w:cs="Times New Roman"/>
        </w:rPr>
        <w:t xml:space="preserve"> which, unsurprisingly, is</w:t>
      </w:r>
      <w:r w:rsidR="003D7FE0" w:rsidRPr="00FA4F65">
        <w:rPr>
          <w:rFonts w:cs="Times New Roman"/>
        </w:rPr>
        <w:t xml:space="preserve"> </w:t>
      </w:r>
      <w:r w:rsidR="00C033BB" w:rsidRPr="00FA4F65">
        <w:rPr>
          <w:rFonts w:cs="Times New Roman"/>
        </w:rPr>
        <w:t xml:space="preserve">only effective coming from a male character. </w:t>
      </w:r>
      <w:r w:rsidR="003D7FE0" w:rsidRPr="00FA4F65">
        <w:rPr>
          <w:rFonts w:cs="Times New Roman"/>
        </w:rPr>
        <w:t xml:space="preserve">It </w:t>
      </w:r>
      <w:r w:rsidR="00825C76" w:rsidRPr="00FA4F65">
        <w:rPr>
          <w:rFonts w:cs="Times New Roman"/>
        </w:rPr>
        <w:t xml:space="preserve">even </w:t>
      </w:r>
      <w:r w:rsidR="003D7FE0" w:rsidRPr="00FA4F65">
        <w:rPr>
          <w:rFonts w:cs="Times New Roman"/>
        </w:rPr>
        <w:t>extend</w:t>
      </w:r>
      <w:r w:rsidR="00DC322D" w:rsidRPr="00FA4F65">
        <w:rPr>
          <w:rFonts w:cs="Times New Roman"/>
        </w:rPr>
        <w:t>s to a gendered toning of voice. I</w:t>
      </w:r>
      <w:r w:rsidR="003D7FE0" w:rsidRPr="00FA4F65">
        <w:rPr>
          <w:rFonts w:cs="Times New Roman"/>
        </w:rPr>
        <w:t xml:space="preserve">n </w:t>
      </w:r>
      <w:r w:rsidR="002511EC" w:rsidRPr="00FA4F65">
        <w:rPr>
          <w:rFonts w:cs="Times New Roman"/>
          <w:i/>
        </w:rPr>
        <w:t>Les Dragons et les Benedictines</w:t>
      </w:r>
      <w:r w:rsidR="002511EC" w:rsidRPr="00FA4F65">
        <w:rPr>
          <w:rFonts w:cs="Times New Roman"/>
        </w:rPr>
        <w:t xml:space="preserve"> the Captain </w:t>
      </w:r>
      <w:r w:rsidR="003D7FE0" w:rsidRPr="00FA4F65">
        <w:rPr>
          <w:rFonts w:cs="Times New Roman"/>
        </w:rPr>
        <w:t>softens his voice to enchant</w:t>
      </w:r>
      <w:r w:rsidR="003A69F9" w:rsidRPr="00FA4F65">
        <w:rPr>
          <w:rFonts w:cs="Times New Roman"/>
        </w:rPr>
        <w:t xml:space="preserve"> Soeur Agnes and</w:t>
      </w:r>
      <w:r w:rsidR="003D7FE0" w:rsidRPr="00FA4F65">
        <w:rPr>
          <w:rFonts w:cs="Times New Roman"/>
        </w:rPr>
        <w:t xml:space="preserve"> Soeur Scholastique</w:t>
      </w:r>
      <w:r w:rsidR="003A69F9" w:rsidRPr="00FA4F65">
        <w:rPr>
          <w:rFonts w:cs="Times New Roman"/>
        </w:rPr>
        <w:t>.</w:t>
      </w:r>
      <w:r w:rsidR="003D7FE0" w:rsidRPr="00FA4F65">
        <w:rPr>
          <w:rStyle w:val="FootnoteReference"/>
          <w:rFonts w:cs="Times New Roman"/>
        </w:rPr>
        <w:footnoteReference w:id="56"/>
      </w:r>
      <w:r w:rsidR="003A69F9" w:rsidRPr="00FA4F65">
        <w:rPr>
          <w:rFonts w:cs="Times New Roman"/>
        </w:rPr>
        <w:t xml:space="preserve"> </w:t>
      </w:r>
      <w:r w:rsidR="00545716" w:rsidRPr="00FA4F65">
        <w:rPr>
          <w:rFonts w:cs="Times New Roman"/>
        </w:rPr>
        <w:t>Euphémie</w:t>
      </w:r>
      <w:r w:rsidR="003A69F9" w:rsidRPr="00FA4F65">
        <w:rPr>
          <w:rFonts w:cs="Times New Roman"/>
        </w:rPr>
        <w:t xml:space="preserve">, in </w:t>
      </w:r>
      <w:r w:rsidR="003A69F9" w:rsidRPr="00FA4F65">
        <w:rPr>
          <w:rFonts w:cs="Times New Roman"/>
          <w:i/>
        </w:rPr>
        <w:t>Les Visitandines</w:t>
      </w:r>
      <w:r w:rsidR="00780314" w:rsidRPr="00FA4F65">
        <w:rPr>
          <w:rFonts w:cs="Times New Roman"/>
        </w:rPr>
        <w:t>, sings</w:t>
      </w:r>
      <w:r w:rsidR="003A69F9" w:rsidRPr="00FA4F65">
        <w:rPr>
          <w:rFonts w:cs="Times New Roman"/>
        </w:rPr>
        <w:t>:</w:t>
      </w:r>
    </w:p>
    <w:p w:rsidR="003A69F9" w:rsidRPr="00FA4F65" w:rsidRDefault="003A69F9" w:rsidP="00C10F99">
      <w:pPr>
        <w:pStyle w:val="NoSpacing"/>
        <w:spacing w:line="480" w:lineRule="auto"/>
        <w:jc w:val="center"/>
        <w:rPr>
          <w:rFonts w:cs="Times New Roman"/>
          <w:i/>
          <w:lang w:val="fr-FR"/>
        </w:rPr>
      </w:pPr>
      <w:r w:rsidRPr="00FA4F65">
        <w:rPr>
          <w:rFonts w:cs="Times New Roman"/>
          <w:i/>
          <w:lang w:val="fr-FR"/>
        </w:rPr>
        <w:t>Dans l’asile de l’innocence,</w:t>
      </w:r>
    </w:p>
    <w:p w:rsidR="003A69F9" w:rsidRPr="00FA4F65" w:rsidRDefault="003A69F9" w:rsidP="00C10F99">
      <w:pPr>
        <w:pStyle w:val="NoSpacing"/>
        <w:spacing w:line="480" w:lineRule="auto"/>
        <w:jc w:val="center"/>
        <w:rPr>
          <w:rFonts w:cs="Times New Roman"/>
          <w:i/>
          <w:lang w:val="fr-FR"/>
        </w:rPr>
      </w:pPr>
      <w:r w:rsidRPr="00FA4F65">
        <w:rPr>
          <w:rFonts w:cs="Times New Roman"/>
          <w:i/>
          <w:lang w:val="fr-FR"/>
        </w:rPr>
        <w:t>Amour, pourquoi m’embrasser de tes feux?</w:t>
      </w:r>
    </w:p>
    <w:p w:rsidR="003A69F9" w:rsidRPr="00FA4F65" w:rsidRDefault="003A69F9" w:rsidP="00C10F99">
      <w:pPr>
        <w:pStyle w:val="NoSpacing"/>
        <w:spacing w:line="480" w:lineRule="auto"/>
        <w:jc w:val="center"/>
        <w:rPr>
          <w:rFonts w:cs="Times New Roman"/>
          <w:i/>
          <w:lang w:val="fr-FR"/>
        </w:rPr>
      </w:pPr>
      <w:r w:rsidRPr="00FA4F65">
        <w:rPr>
          <w:rFonts w:cs="Times New Roman"/>
          <w:i/>
          <w:lang w:val="fr-FR"/>
        </w:rPr>
        <w:t>Eloigne-toi, la froide indifférence</w:t>
      </w:r>
    </w:p>
    <w:p w:rsidR="003A69F9" w:rsidRPr="00FA4F65" w:rsidRDefault="003A69F9" w:rsidP="00C10F99">
      <w:pPr>
        <w:pStyle w:val="NoSpacing"/>
        <w:spacing w:line="480" w:lineRule="auto"/>
        <w:jc w:val="center"/>
        <w:rPr>
          <w:rFonts w:cs="Times New Roman"/>
          <w:i/>
          <w:lang w:val="fr-FR"/>
        </w:rPr>
      </w:pPr>
      <w:r w:rsidRPr="00FA4F65">
        <w:rPr>
          <w:rFonts w:cs="Times New Roman"/>
          <w:i/>
          <w:lang w:val="fr-FR"/>
        </w:rPr>
        <w:t>Doit seule régner dans ces lieux.</w:t>
      </w:r>
      <w:r w:rsidRPr="00FA4F65">
        <w:rPr>
          <w:rStyle w:val="FootnoteReference"/>
          <w:rFonts w:cs="Times New Roman"/>
          <w:lang w:val="fr-FR"/>
        </w:rPr>
        <w:footnoteReference w:id="57"/>
      </w:r>
    </w:p>
    <w:p w:rsidR="00BD34DE" w:rsidRPr="00FA4F65" w:rsidRDefault="00BD34DE" w:rsidP="00C10F99">
      <w:pPr>
        <w:pStyle w:val="NoSpacing"/>
        <w:spacing w:line="480" w:lineRule="auto"/>
        <w:jc w:val="center"/>
        <w:rPr>
          <w:rFonts w:cs="Times New Roman"/>
          <w:lang w:val="fr-FR"/>
        </w:rPr>
      </w:pPr>
    </w:p>
    <w:p w:rsidR="00B51629" w:rsidRPr="00FA4F65" w:rsidRDefault="00780314" w:rsidP="00C10F99">
      <w:pPr>
        <w:spacing w:line="480" w:lineRule="auto"/>
        <w:jc w:val="both"/>
        <w:rPr>
          <w:rFonts w:cs="Times New Roman"/>
        </w:rPr>
      </w:pPr>
      <w:r w:rsidRPr="00FA4F65">
        <w:rPr>
          <w:rFonts w:cs="Times New Roman"/>
        </w:rPr>
        <w:t xml:space="preserve">Gendered rhetoric is then shown through the differences in male and female verse: the men sing when </w:t>
      </w:r>
      <w:r w:rsidR="00146209" w:rsidRPr="00FA4F65">
        <w:rPr>
          <w:rFonts w:cs="Times New Roman"/>
        </w:rPr>
        <w:t>intoxicated</w:t>
      </w:r>
      <w:r w:rsidR="009F596E" w:rsidRPr="00FA4F65">
        <w:rPr>
          <w:rFonts w:cs="Times New Roman"/>
        </w:rPr>
        <w:t xml:space="preserve"> </w:t>
      </w:r>
      <w:r w:rsidR="00DC322D" w:rsidRPr="00FA4F65">
        <w:rPr>
          <w:rFonts w:cs="Times New Roman"/>
        </w:rPr>
        <w:t xml:space="preserve">and </w:t>
      </w:r>
      <w:r w:rsidR="009F596E" w:rsidRPr="00FA4F65">
        <w:rPr>
          <w:rFonts w:cs="Times New Roman"/>
        </w:rPr>
        <w:t xml:space="preserve">the women when in love. </w:t>
      </w:r>
      <w:r w:rsidR="005D4CEA" w:rsidRPr="00FA4F65">
        <w:rPr>
          <w:rFonts w:cs="Times New Roman"/>
        </w:rPr>
        <w:t xml:space="preserve">Alcohol is used as a – albeit light-hearted and amusing – symbol of immorality, most notably in </w:t>
      </w:r>
      <w:r w:rsidR="005D4CEA" w:rsidRPr="00FA4F65">
        <w:rPr>
          <w:rFonts w:cs="Times New Roman"/>
          <w:i/>
        </w:rPr>
        <w:t>Les Visitandines</w:t>
      </w:r>
      <w:r w:rsidR="005D4CEA" w:rsidRPr="00FA4F65">
        <w:rPr>
          <w:rFonts w:cs="Times New Roman"/>
        </w:rPr>
        <w:t xml:space="preserve"> but we see it also in </w:t>
      </w:r>
      <w:r w:rsidR="005D4CEA" w:rsidRPr="00FA4F65">
        <w:rPr>
          <w:rFonts w:cs="Times New Roman"/>
          <w:i/>
        </w:rPr>
        <w:t xml:space="preserve">Le Couvent. </w:t>
      </w:r>
      <w:r w:rsidR="005D4CEA" w:rsidRPr="00FA4F65">
        <w:rPr>
          <w:rFonts w:cs="Times New Roman"/>
        </w:rPr>
        <w:t>A popular attack was calling Louis XVI ‘</w:t>
      </w:r>
      <w:r w:rsidR="005D4CEA" w:rsidRPr="00FA4F65">
        <w:rPr>
          <w:rFonts w:cs="Times New Roman"/>
          <w:i/>
        </w:rPr>
        <w:t>le buveur,</w:t>
      </w:r>
      <w:r w:rsidR="005D4CEA" w:rsidRPr="00FA4F65">
        <w:rPr>
          <w:rFonts w:cs="Times New Roman"/>
        </w:rPr>
        <w:t>’ and whilst not making direct references to the King, it is interesting to draw a parallel between the two.</w:t>
      </w:r>
      <w:r w:rsidR="00843D65">
        <w:rPr>
          <w:rFonts w:cs="Times New Roman"/>
        </w:rPr>
        <w:t xml:space="preserve"> Furthermore, Hyslop reminds us that scenes of drunkenness would guarantee to produce laughter (‘in any age’)</w:t>
      </w:r>
      <w:r w:rsidR="00EC06EB">
        <w:rPr>
          <w:rFonts w:cs="Times New Roman"/>
        </w:rPr>
        <w:t>,</w:t>
      </w:r>
      <w:r w:rsidR="00843D65">
        <w:rPr>
          <w:rFonts w:cs="Times New Roman"/>
        </w:rPr>
        <w:t xml:space="preserve"> stressing that </w:t>
      </w:r>
      <w:r w:rsidR="00843D65">
        <w:rPr>
          <w:rFonts w:cs="Times New Roman"/>
          <w:i/>
        </w:rPr>
        <w:t>Les Visitandines</w:t>
      </w:r>
      <w:r w:rsidR="00843D65">
        <w:rPr>
          <w:rFonts w:cs="Times New Roman"/>
        </w:rPr>
        <w:t xml:space="preserve"> should be regarded</w:t>
      </w:r>
      <w:r w:rsidR="00E95339">
        <w:rPr>
          <w:rFonts w:cs="Times New Roman"/>
        </w:rPr>
        <w:t xml:space="preserve"> primarily</w:t>
      </w:r>
      <w:r w:rsidR="00843D65">
        <w:rPr>
          <w:rFonts w:cs="Times New Roman"/>
        </w:rPr>
        <w:t xml:space="preserve"> as ‘good-</w:t>
      </w:r>
      <w:r w:rsidR="00E95339">
        <w:rPr>
          <w:rFonts w:cs="Times New Roman"/>
        </w:rPr>
        <w:t>humored</w:t>
      </w:r>
      <w:r w:rsidR="00843D65">
        <w:rPr>
          <w:rFonts w:cs="Times New Roman"/>
        </w:rPr>
        <w:t xml:space="preserve"> rather than biting’.</w:t>
      </w:r>
      <w:r w:rsidR="00843D65">
        <w:rPr>
          <w:rStyle w:val="FootnoteReference"/>
          <w:rFonts w:cs="Times New Roman"/>
        </w:rPr>
        <w:footnoteReference w:id="58"/>
      </w:r>
      <w:r w:rsidR="005D4CEA" w:rsidRPr="00FA4F65">
        <w:rPr>
          <w:rFonts w:cs="Times New Roman"/>
        </w:rPr>
        <w:t xml:space="preserve"> </w:t>
      </w:r>
      <w:r w:rsidR="009F596E" w:rsidRPr="00FA4F65">
        <w:rPr>
          <w:rFonts w:cs="Times New Roman"/>
        </w:rPr>
        <w:t>The use of assonance</w:t>
      </w:r>
      <w:r w:rsidR="00EC06EB">
        <w:rPr>
          <w:rFonts w:cs="Times New Roman"/>
        </w:rPr>
        <w:t xml:space="preserve"> in the song</w:t>
      </w:r>
      <w:r w:rsidR="009F596E" w:rsidRPr="00FA4F65">
        <w:rPr>
          <w:rFonts w:cs="Times New Roman"/>
        </w:rPr>
        <w:t xml:space="preserve"> gives a soft, a</w:t>
      </w:r>
      <w:r w:rsidR="00DC322D" w:rsidRPr="00FA4F65">
        <w:rPr>
          <w:rFonts w:cs="Times New Roman"/>
        </w:rPr>
        <w:t xml:space="preserve">ngelic tone </w:t>
      </w:r>
      <w:r w:rsidR="009F596E" w:rsidRPr="00FA4F65">
        <w:rPr>
          <w:rFonts w:cs="Times New Roman"/>
        </w:rPr>
        <w:t xml:space="preserve">reflecting </w:t>
      </w:r>
      <w:r w:rsidR="00DC322D" w:rsidRPr="00FA4F65">
        <w:rPr>
          <w:rFonts w:cs="Times New Roman"/>
        </w:rPr>
        <w:t>feminine</w:t>
      </w:r>
      <w:r w:rsidR="009F596E" w:rsidRPr="00FA4F65">
        <w:rPr>
          <w:rFonts w:cs="Times New Roman"/>
        </w:rPr>
        <w:t xml:space="preserve"> purity. </w:t>
      </w:r>
      <w:r w:rsidR="00625973" w:rsidRPr="00FA4F65">
        <w:rPr>
          <w:rFonts w:cs="Times New Roman"/>
        </w:rPr>
        <w:t>I</w:t>
      </w:r>
      <w:r w:rsidR="003D7FE0" w:rsidRPr="00FA4F65">
        <w:rPr>
          <w:rFonts w:cs="Times New Roman"/>
        </w:rPr>
        <w:t>nnocence</w:t>
      </w:r>
      <w:r w:rsidR="00560536" w:rsidRPr="00FA4F65">
        <w:rPr>
          <w:rFonts w:cs="Times New Roman"/>
        </w:rPr>
        <w:t xml:space="preserve"> then</w:t>
      </w:r>
      <w:r w:rsidR="009F596E" w:rsidRPr="00FA4F65">
        <w:rPr>
          <w:rFonts w:cs="Times New Roman"/>
        </w:rPr>
        <w:t xml:space="preserve"> </w:t>
      </w:r>
      <w:r w:rsidR="003A69F9" w:rsidRPr="00FA4F65">
        <w:rPr>
          <w:rFonts w:cs="Times New Roman"/>
        </w:rPr>
        <w:t xml:space="preserve">appears to be the female equivalent of Revolutionary </w:t>
      </w:r>
      <w:r w:rsidR="003A69F9" w:rsidRPr="00FA4F65">
        <w:rPr>
          <w:rFonts w:cs="Times New Roman"/>
          <w:i/>
        </w:rPr>
        <w:t>vertu.</w:t>
      </w:r>
      <w:r w:rsidR="003A69F9" w:rsidRPr="00FA4F65">
        <w:rPr>
          <w:rFonts w:cs="Times New Roman"/>
        </w:rPr>
        <w:t xml:space="preserve"> </w:t>
      </w:r>
      <w:r w:rsidR="00625973" w:rsidRPr="00FA4F65">
        <w:rPr>
          <w:rFonts w:cs="Times New Roman"/>
        </w:rPr>
        <w:t xml:space="preserve">A </w:t>
      </w:r>
      <w:r w:rsidR="00BD34DE" w:rsidRPr="00FA4F65">
        <w:rPr>
          <w:rFonts w:cs="Times New Roman"/>
        </w:rPr>
        <w:t>defining feature of all of the heroines in the convent plays is their virginity. This highlights yet another reason for the genre’s popularity: the convent ‘represents the most eroticized space ima</w:t>
      </w:r>
      <w:r w:rsidR="00192DB8">
        <w:rPr>
          <w:rFonts w:cs="Times New Roman"/>
        </w:rPr>
        <w:t xml:space="preserve">ginable in </w:t>
      </w:r>
      <w:r w:rsidR="00192DB8" w:rsidRPr="00192DB8">
        <w:rPr>
          <w:rFonts w:cs="Times New Roman"/>
          <w:i/>
        </w:rPr>
        <w:t>ancien ré</w:t>
      </w:r>
      <w:r w:rsidR="00625973" w:rsidRPr="00192DB8">
        <w:rPr>
          <w:rFonts w:cs="Times New Roman"/>
          <w:i/>
        </w:rPr>
        <w:t>gime</w:t>
      </w:r>
      <w:r w:rsidR="00625973" w:rsidRPr="00FA4F65">
        <w:rPr>
          <w:rFonts w:cs="Times New Roman"/>
        </w:rPr>
        <w:t xml:space="preserve"> France</w:t>
      </w:r>
      <w:r w:rsidR="00BD34DE" w:rsidRPr="00FA4F65">
        <w:rPr>
          <w:rFonts w:cs="Times New Roman"/>
        </w:rPr>
        <w:t>… by the very fact of pretending to shut sexuality out, it effectively shuts it in’.</w:t>
      </w:r>
      <w:r w:rsidR="00BD34DE" w:rsidRPr="00FA4F65">
        <w:rPr>
          <w:rStyle w:val="FootnoteReference"/>
          <w:rFonts w:cs="Times New Roman"/>
        </w:rPr>
        <w:footnoteReference w:id="59"/>
      </w:r>
      <w:r w:rsidR="00D4315B" w:rsidRPr="00FA4F65">
        <w:rPr>
          <w:rFonts w:cs="Times New Roman"/>
        </w:rPr>
        <w:t xml:space="preserve"> </w:t>
      </w:r>
      <w:r w:rsidR="003C1CCD" w:rsidRPr="00FA4F65">
        <w:rPr>
          <w:rFonts w:cs="Times New Roman"/>
        </w:rPr>
        <w:t>T</w:t>
      </w:r>
      <w:r w:rsidR="00D4315B" w:rsidRPr="00FA4F65">
        <w:rPr>
          <w:rFonts w:cs="Times New Roman"/>
        </w:rPr>
        <w:t xml:space="preserve">he </w:t>
      </w:r>
      <w:r w:rsidR="003C1CCD" w:rsidRPr="00FA4F65">
        <w:rPr>
          <w:rFonts w:cs="Times New Roman"/>
        </w:rPr>
        <w:t>Rousse</w:t>
      </w:r>
      <w:r w:rsidR="00787717" w:rsidRPr="00FA4F65">
        <w:rPr>
          <w:rFonts w:cs="Times New Roman"/>
        </w:rPr>
        <w:t>auean</w:t>
      </w:r>
      <w:r w:rsidR="003C1CCD" w:rsidRPr="00FA4F65">
        <w:rPr>
          <w:rFonts w:cs="Times New Roman"/>
        </w:rPr>
        <w:t xml:space="preserve"> </w:t>
      </w:r>
      <w:r w:rsidR="00D4315B" w:rsidRPr="00FA4F65">
        <w:rPr>
          <w:rFonts w:cs="Times New Roman"/>
        </w:rPr>
        <w:t xml:space="preserve">image of a ‘young, innocent, and pure’ female </w:t>
      </w:r>
      <w:r w:rsidR="00EC4DC5" w:rsidRPr="00FA4F65">
        <w:rPr>
          <w:rFonts w:cs="Times New Roman"/>
        </w:rPr>
        <w:t>goddess of liberty seeming to almost ‘</w:t>
      </w:r>
      <w:r w:rsidR="00D4315B" w:rsidRPr="00FA4F65">
        <w:rPr>
          <w:rFonts w:cs="Times New Roman"/>
        </w:rPr>
        <w:t>call out for the prote</w:t>
      </w:r>
      <w:r w:rsidR="003C1CCD" w:rsidRPr="00FA4F65">
        <w:rPr>
          <w:rFonts w:cs="Times New Roman"/>
        </w:rPr>
        <w:t>ction of virile republican men’</w:t>
      </w:r>
      <w:r w:rsidR="00D4315B" w:rsidRPr="00FA4F65">
        <w:rPr>
          <w:rFonts w:cs="Times New Roman"/>
        </w:rPr>
        <w:t xml:space="preserve"> </w:t>
      </w:r>
      <w:r w:rsidR="003C1CCD" w:rsidRPr="00FA4F65">
        <w:rPr>
          <w:rFonts w:cs="Times New Roman"/>
        </w:rPr>
        <w:t>demonstrates how</w:t>
      </w:r>
      <w:r w:rsidR="00D4315B" w:rsidRPr="00FA4F65">
        <w:rPr>
          <w:rFonts w:cs="Times New Roman"/>
        </w:rPr>
        <w:t xml:space="preserve"> convent theat</w:t>
      </w:r>
      <w:r w:rsidR="00DC322D" w:rsidRPr="00FA4F65">
        <w:rPr>
          <w:rFonts w:cs="Times New Roman"/>
        </w:rPr>
        <w:t>re catered to officials’ tastes -</w:t>
      </w:r>
      <w:r w:rsidR="00612373" w:rsidRPr="00FA4F65">
        <w:rPr>
          <w:rFonts w:cs="Times New Roman"/>
        </w:rPr>
        <w:t xml:space="preserve"> ‘beneath any elevated rhetoric against the cloister lies an adolescent male lust’.</w:t>
      </w:r>
      <w:r w:rsidR="00612373" w:rsidRPr="00FA4F65">
        <w:rPr>
          <w:rStyle w:val="FootnoteReference"/>
          <w:rFonts w:cs="Times New Roman"/>
        </w:rPr>
        <w:footnoteReference w:id="60"/>
      </w:r>
      <w:r w:rsidR="00B51629" w:rsidRPr="00FA4F65">
        <w:rPr>
          <w:rFonts w:cs="Times New Roman"/>
        </w:rPr>
        <w:t xml:space="preserve"> </w:t>
      </w:r>
    </w:p>
    <w:p w:rsidR="00144ECF" w:rsidRPr="00FA4F65" w:rsidRDefault="00560536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>We see gendering even in the set design and stage</w:t>
      </w:r>
      <w:r w:rsidR="00545716" w:rsidRPr="00FA4F65">
        <w:rPr>
          <w:rFonts w:cs="Times New Roman"/>
        </w:rPr>
        <w:t xml:space="preserve"> directions of c</w:t>
      </w:r>
      <w:r w:rsidR="007A4C9D" w:rsidRPr="00FA4F65">
        <w:rPr>
          <w:rFonts w:cs="Times New Roman"/>
        </w:rPr>
        <w:t xml:space="preserve">onvent theatre. </w:t>
      </w:r>
      <w:r w:rsidR="008E16D5" w:rsidRPr="00FA4F65">
        <w:rPr>
          <w:rFonts w:cs="Times New Roman"/>
        </w:rPr>
        <w:t xml:space="preserve">Murphree emphasises the importance of space within these convent plays in terms of their gendered and revolutionary messages. </w:t>
      </w:r>
      <w:r w:rsidR="00464406" w:rsidRPr="00FA4F65">
        <w:rPr>
          <w:rFonts w:cs="Times New Roman"/>
        </w:rPr>
        <w:t>Indeed, all of th</w:t>
      </w:r>
      <w:r w:rsidR="00612373" w:rsidRPr="00FA4F65">
        <w:rPr>
          <w:rFonts w:cs="Times New Roman"/>
        </w:rPr>
        <w:t>e sets are designed to show in and outside the convent, often simultaneously</w:t>
      </w:r>
      <w:r w:rsidR="00B51629" w:rsidRPr="00FA4F65">
        <w:rPr>
          <w:rFonts w:cs="Times New Roman"/>
        </w:rPr>
        <w:t xml:space="preserve">, differentiating between female and male, </w:t>
      </w:r>
      <w:r w:rsidR="00192DB8">
        <w:rPr>
          <w:rFonts w:cs="Times New Roman"/>
          <w:i/>
        </w:rPr>
        <w:t>a</w:t>
      </w:r>
      <w:r w:rsidR="00B51629" w:rsidRPr="00FA4F65">
        <w:rPr>
          <w:rFonts w:cs="Times New Roman"/>
          <w:i/>
        </w:rPr>
        <w:t xml:space="preserve">ncien </w:t>
      </w:r>
      <w:r w:rsidR="00192DB8">
        <w:rPr>
          <w:rFonts w:cs="Times New Roman"/>
          <w:i/>
        </w:rPr>
        <w:t>r</w:t>
      </w:r>
      <w:r w:rsidR="00B51629" w:rsidRPr="00FA4F65">
        <w:rPr>
          <w:rFonts w:cs="Times New Roman"/>
          <w:i/>
        </w:rPr>
        <w:t>égime</w:t>
      </w:r>
      <w:r w:rsidR="00B51629" w:rsidRPr="00FA4F65">
        <w:rPr>
          <w:rFonts w:cs="Times New Roman"/>
        </w:rPr>
        <w:t xml:space="preserve"> and Revolution</w:t>
      </w:r>
      <w:r w:rsidR="00DC322D" w:rsidRPr="00FA4F65">
        <w:rPr>
          <w:rFonts w:cs="Times New Roman"/>
        </w:rPr>
        <w:t>. ‘Accordingly, t</w:t>
      </w:r>
      <w:r w:rsidR="00612373" w:rsidRPr="00FA4F65">
        <w:rPr>
          <w:rFonts w:cs="Times New Roman"/>
        </w:rPr>
        <w:t>he exterior spaces are more strongly identified with male characters and secular desires.’</w:t>
      </w:r>
      <w:r w:rsidR="00612373" w:rsidRPr="00FA4F65">
        <w:rPr>
          <w:rStyle w:val="FootnoteReference"/>
          <w:rFonts w:cs="Times New Roman"/>
        </w:rPr>
        <w:footnoteReference w:id="61"/>
      </w:r>
      <w:r w:rsidR="00612373" w:rsidRPr="00FA4F65">
        <w:rPr>
          <w:rFonts w:cs="Times New Roman"/>
        </w:rPr>
        <w:t xml:space="preserve"> By entering the gardens or breaking in through disguise, the male characters penetrate, even </w:t>
      </w:r>
      <w:r w:rsidR="00825C76" w:rsidRPr="00FA4F65">
        <w:rPr>
          <w:rFonts w:cs="Times New Roman"/>
        </w:rPr>
        <w:t>violate, the convent setting,</w:t>
      </w:r>
      <w:r w:rsidR="00612373" w:rsidRPr="00FA4F65">
        <w:rPr>
          <w:rFonts w:cs="Times New Roman"/>
        </w:rPr>
        <w:t xml:space="preserve"> add</w:t>
      </w:r>
      <w:r w:rsidR="00825C76" w:rsidRPr="00FA4F65">
        <w:rPr>
          <w:rFonts w:cs="Times New Roman"/>
        </w:rPr>
        <w:t>ing</w:t>
      </w:r>
      <w:r w:rsidR="00612373" w:rsidRPr="00FA4F65">
        <w:rPr>
          <w:rFonts w:cs="Times New Roman"/>
        </w:rPr>
        <w:t xml:space="preserve"> to the </w:t>
      </w:r>
      <w:r w:rsidR="00825C76" w:rsidRPr="00FA4F65">
        <w:rPr>
          <w:rFonts w:cs="Times New Roman"/>
        </w:rPr>
        <w:t>erotic dimension of</w:t>
      </w:r>
      <w:r w:rsidR="00B51629" w:rsidRPr="00FA4F65">
        <w:rPr>
          <w:rFonts w:cs="Times New Roman"/>
        </w:rPr>
        <w:t xml:space="preserve"> convent</w:t>
      </w:r>
      <w:r w:rsidR="00825C76" w:rsidRPr="00FA4F65">
        <w:rPr>
          <w:rFonts w:cs="Times New Roman"/>
        </w:rPr>
        <w:t xml:space="preserve"> theatre</w:t>
      </w:r>
      <w:r w:rsidR="00B51629" w:rsidRPr="00FA4F65">
        <w:rPr>
          <w:rFonts w:cs="Times New Roman"/>
        </w:rPr>
        <w:t>.</w:t>
      </w:r>
    </w:p>
    <w:p w:rsidR="0008257C" w:rsidRPr="00FA4F65" w:rsidRDefault="00495A1C" w:rsidP="00267BB3">
      <w:pPr>
        <w:spacing w:line="480" w:lineRule="auto"/>
        <w:ind w:right="-46" w:firstLine="567"/>
        <w:jc w:val="both"/>
        <w:rPr>
          <w:rFonts w:cs="Times New Roman"/>
          <w:lang w:val="fr-FR"/>
        </w:rPr>
      </w:pPr>
      <w:r w:rsidRPr="00FA4F65">
        <w:rPr>
          <w:rFonts w:cs="Times New Roman"/>
        </w:rPr>
        <w:t>Nearly all convent plays depict two types of female: th</w:t>
      </w:r>
      <w:r w:rsidR="00DC322D" w:rsidRPr="00FA4F65">
        <w:rPr>
          <w:rFonts w:cs="Times New Roman"/>
        </w:rPr>
        <w:t>e young, virginal, beautiful orphan</w:t>
      </w:r>
      <w:r w:rsidRPr="00FA4F65">
        <w:rPr>
          <w:rFonts w:cs="Times New Roman"/>
        </w:rPr>
        <w:t xml:space="preserve"> entirely at the mercy of</w:t>
      </w:r>
      <w:r w:rsidR="00C553F7" w:rsidRPr="00FA4F65">
        <w:rPr>
          <w:rFonts w:cs="Times New Roman"/>
        </w:rPr>
        <w:t xml:space="preserve"> the old, conservative, repressive</w:t>
      </w:r>
      <w:r w:rsidRPr="00FA4F65">
        <w:rPr>
          <w:rFonts w:cs="Times New Roman"/>
        </w:rPr>
        <w:t xml:space="preserve"> abbess. </w:t>
      </w:r>
      <w:r w:rsidR="00621F01" w:rsidRPr="00FA4F65">
        <w:rPr>
          <w:rFonts w:cs="Times New Roman"/>
          <w:lang w:val="fr-FR"/>
        </w:rPr>
        <w:t>Mme. de Genlis</w:t>
      </w:r>
      <w:r w:rsidRPr="00FA4F65">
        <w:rPr>
          <w:rStyle w:val="apple-style-span"/>
          <w:rFonts w:cs="Times New Roman"/>
          <w:color w:val="000000"/>
          <w:lang w:val="fr-FR"/>
        </w:rPr>
        <w:t xml:space="preserve"> describes the latter</w:t>
      </w:r>
      <w:r w:rsidR="0008257C" w:rsidRPr="00FA4F65">
        <w:rPr>
          <w:rStyle w:val="apple-style-span"/>
          <w:rFonts w:cs="Times New Roman"/>
          <w:color w:val="000000"/>
          <w:lang w:val="fr-FR"/>
        </w:rPr>
        <w:t xml:space="preserve">: </w:t>
      </w:r>
    </w:p>
    <w:p w:rsidR="0008257C" w:rsidRPr="00FA4F65" w:rsidRDefault="0008257C" w:rsidP="00C10F99">
      <w:pPr>
        <w:spacing w:line="480" w:lineRule="auto"/>
        <w:ind w:left="567" w:right="521"/>
        <w:jc w:val="both"/>
        <w:rPr>
          <w:rFonts w:cs="Times New Roman"/>
          <w:lang w:val="fr-FR"/>
        </w:rPr>
      </w:pPr>
      <w:r w:rsidRPr="00FA4F65">
        <w:rPr>
          <w:rFonts w:cs="Times New Roman"/>
          <w:i/>
          <w:lang w:val="fr-FR"/>
        </w:rPr>
        <w:t>Une Abbess</w:t>
      </w:r>
      <w:r w:rsidR="005D1395" w:rsidRPr="00FA4F65">
        <w:rPr>
          <w:rFonts w:cs="Times New Roman"/>
          <w:i/>
          <w:lang w:val="fr-FR"/>
        </w:rPr>
        <w:t>e</w:t>
      </w:r>
      <w:r w:rsidRPr="00FA4F65">
        <w:rPr>
          <w:rFonts w:cs="Times New Roman"/>
          <w:i/>
          <w:lang w:val="fr-FR"/>
        </w:rPr>
        <w:t xml:space="preserve"> est une </w:t>
      </w:r>
      <w:r w:rsidR="005D1395" w:rsidRPr="00FA4F65">
        <w:rPr>
          <w:rFonts w:cs="Times New Roman"/>
          <w:i/>
          <w:lang w:val="fr-FR"/>
        </w:rPr>
        <w:t>espèce</w:t>
      </w:r>
      <w:r w:rsidR="00C033BB" w:rsidRPr="00FA4F65">
        <w:rPr>
          <w:rFonts w:cs="Times New Roman"/>
          <w:i/>
          <w:lang w:val="fr-FR"/>
        </w:rPr>
        <w:t xml:space="preserve"> de Reine… une Souveraine absolue, qui…</w:t>
      </w:r>
      <w:r w:rsidRPr="00FA4F65">
        <w:rPr>
          <w:rFonts w:cs="Times New Roman"/>
          <w:i/>
          <w:lang w:val="fr-FR"/>
        </w:rPr>
        <w:t xml:space="preserve"> vit avec faste dans une </w:t>
      </w:r>
      <w:r w:rsidR="005D1395" w:rsidRPr="00FA4F65">
        <w:rPr>
          <w:rFonts w:cs="Times New Roman"/>
          <w:i/>
          <w:lang w:val="fr-FR"/>
        </w:rPr>
        <w:t>représentation</w:t>
      </w:r>
      <w:r w:rsidRPr="00FA4F65">
        <w:rPr>
          <w:rFonts w:cs="Times New Roman"/>
          <w:i/>
          <w:lang w:val="fr-FR"/>
        </w:rPr>
        <w:t xml:space="preserve"> continuelle, en gouvernant despotiquement ses sœurs &amp; ses </w:t>
      </w:r>
      <w:r w:rsidR="00FA31E0" w:rsidRPr="00FA4F65">
        <w:rPr>
          <w:rFonts w:cs="Times New Roman"/>
          <w:i/>
          <w:lang w:val="fr-FR"/>
        </w:rPr>
        <w:t>égales</w:t>
      </w:r>
      <w:r w:rsidR="00C033BB" w:rsidRPr="00FA4F65">
        <w:rPr>
          <w:rFonts w:cs="Times New Roman"/>
          <w:i/>
          <w:lang w:val="fr-FR"/>
        </w:rPr>
        <w:t>.</w:t>
      </w:r>
      <w:r w:rsidR="005D1395" w:rsidRPr="00FA4F65">
        <w:rPr>
          <w:rStyle w:val="FootnoteReference"/>
          <w:rFonts w:cs="Times New Roman"/>
          <w:lang w:val="fr-FR"/>
        </w:rPr>
        <w:footnoteReference w:id="62"/>
      </w:r>
    </w:p>
    <w:p w:rsidR="00B51629" w:rsidRPr="00FA4F65" w:rsidRDefault="00C553F7" w:rsidP="00C10F99">
      <w:pPr>
        <w:spacing w:line="480" w:lineRule="auto"/>
        <w:jc w:val="both"/>
        <w:rPr>
          <w:rFonts w:cs="Times New Roman"/>
        </w:rPr>
      </w:pPr>
      <w:r w:rsidRPr="00FA4F65">
        <w:rPr>
          <w:rFonts w:cs="Times New Roman"/>
        </w:rPr>
        <w:t>She is clearly ref</w:t>
      </w:r>
      <w:r w:rsidR="003C1CCD" w:rsidRPr="00FA4F65">
        <w:rPr>
          <w:rFonts w:cs="Times New Roman"/>
        </w:rPr>
        <w:t>e</w:t>
      </w:r>
      <w:r w:rsidRPr="00FA4F65">
        <w:rPr>
          <w:rFonts w:cs="Times New Roman"/>
        </w:rPr>
        <w:t>r</w:t>
      </w:r>
      <w:r w:rsidR="003C1CCD" w:rsidRPr="00FA4F65">
        <w:rPr>
          <w:rFonts w:cs="Times New Roman"/>
        </w:rPr>
        <w:t>ring</w:t>
      </w:r>
      <w:r w:rsidR="00560536" w:rsidRPr="00FA4F65">
        <w:rPr>
          <w:rFonts w:cs="Times New Roman"/>
        </w:rPr>
        <w:t xml:space="preserve"> to Marie-Antoinette, the only woman of any importance in France and who</w:t>
      </w:r>
      <w:r w:rsidR="00F80018" w:rsidRPr="00FA4F65">
        <w:rPr>
          <w:rFonts w:cs="Times New Roman"/>
        </w:rPr>
        <w:t xml:space="preserve"> by</w:t>
      </w:r>
      <w:r w:rsidR="003C4E66" w:rsidRPr="00FA4F65">
        <w:rPr>
          <w:rFonts w:cs="Times New Roman"/>
        </w:rPr>
        <w:t xml:space="preserve"> 1790</w:t>
      </w:r>
      <w:r w:rsidR="00B16C9E" w:rsidRPr="00FA4F65">
        <w:rPr>
          <w:rFonts w:cs="Times New Roman"/>
        </w:rPr>
        <w:t xml:space="preserve"> had </w:t>
      </w:r>
      <w:r w:rsidR="003C1CCD" w:rsidRPr="00FA4F65">
        <w:rPr>
          <w:rFonts w:cs="Times New Roman"/>
        </w:rPr>
        <w:t>lost all support</w:t>
      </w:r>
      <w:r w:rsidR="00B16C9E" w:rsidRPr="00FA4F65">
        <w:rPr>
          <w:rFonts w:cs="Times New Roman"/>
        </w:rPr>
        <w:t xml:space="preserve">. </w:t>
      </w:r>
      <w:r w:rsidRPr="00FA4F65">
        <w:rPr>
          <w:rFonts w:cs="Times New Roman"/>
        </w:rPr>
        <w:t xml:space="preserve">This </w:t>
      </w:r>
      <w:r w:rsidR="003E6F74" w:rsidRPr="00FA4F65">
        <w:rPr>
          <w:rFonts w:cs="Times New Roman"/>
        </w:rPr>
        <w:t>type</w:t>
      </w:r>
      <w:r w:rsidRPr="00FA4F65">
        <w:rPr>
          <w:rFonts w:cs="Times New Roman"/>
        </w:rPr>
        <w:t>casting</w:t>
      </w:r>
      <w:r w:rsidR="003E6F74" w:rsidRPr="00FA4F65">
        <w:rPr>
          <w:rFonts w:cs="Times New Roman"/>
        </w:rPr>
        <w:t xml:space="preserve"> was not confronted by the convent plays but encouraged: in order to restore the balance of power the abbess must be defeated by male characters.</w:t>
      </w:r>
      <w:r w:rsidR="003E6F74" w:rsidRPr="00FA4F65">
        <w:rPr>
          <w:rStyle w:val="FootnoteReference"/>
          <w:rFonts w:cs="Times New Roman"/>
        </w:rPr>
        <w:footnoteReference w:id="63"/>
      </w:r>
      <w:r w:rsidR="003E6F74" w:rsidRPr="00FA4F65">
        <w:rPr>
          <w:rFonts w:cs="Times New Roman"/>
        </w:rPr>
        <w:t xml:space="preserve"> </w:t>
      </w:r>
      <w:r w:rsidR="003C1CCD" w:rsidRPr="00FA4F65">
        <w:rPr>
          <w:rFonts w:cs="Times New Roman"/>
        </w:rPr>
        <w:t xml:space="preserve">Interestingly, </w:t>
      </w:r>
      <w:r w:rsidR="00EC06EB">
        <w:rPr>
          <w:rFonts w:cs="Times New Roman"/>
        </w:rPr>
        <w:t xml:space="preserve">in this sense </w:t>
      </w:r>
      <w:r w:rsidR="003C1CCD" w:rsidRPr="00FA4F65">
        <w:rPr>
          <w:rFonts w:cs="Times New Roman"/>
        </w:rPr>
        <w:t>d</w:t>
      </w:r>
      <w:r w:rsidR="00110522" w:rsidRPr="00FA4F65">
        <w:rPr>
          <w:rFonts w:cs="Times New Roman"/>
        </w:rPr>
        <w:t>e Gouge</w:t>
      </w:r>
      <w:r w:rsidR="00787717" w:rsidRPr="00FA4F65">
        <w:rPr>
          <w:rFonts w:cs="Times New Roman"/>
        </w:rPr>
        <w:t>s</w:t>
      </w:r>
      <w:r w:rsidR="00110522" w:rsidRPr="00FA4F65">
        <w:rPr>
          <w:rFonts w:cs="Times New Roman"/>
        </w:rPr>
        <w:t xml:space="preserve"> </w:t>
      </w:r>
      <w:r w:rsidR="00495A1C" w:rsidRPr="00FA4F65">
        <w:rPr>
          <w:rFonts w:cs="Times New Roman"/>
        </w:rPr>
        <w:t xml:space="preserve">is arguably </w:t>
      </w:r>
      <w:r w:rsidRPr="00FA4F65">
        <w:rPr>
          <w:rFonts w:cs="Times New Roman"/>
        </w:rPr>
        <w:t xml:space="preserve">the </w:t>
      </w:r>
      <w:r w:rsidR="00495A1C" w:rsidRPr="00FA4F65">
        <w:rPr>
          <w:rFonts w:cs="Times New Roman"/>
        </w:rPr>
        <w:t>most guilty of stereotyping</w:t>
      </w:r>
      <w:r w:rsidR="003E6F74" w:rsidRPr="00FA4F65">
        <w:rPr>
          <w:rFonts w:cs="Times New Roman"/>
        </w:rPr>
        <w:t>. I</w:t>
      </w:r>
      <w:r w:rsidR="00B16C9E" w:rsidRPr="00FA4F65">
        <w:rPr>
          <w:rFonts w:cs="Times New Roman"/>
        </w:rPr>
        <w:t xml:space="preserve">n </w:t>
      </w:r>
      <w:r w:rsidR="00B16C9E" w:rsidRPr="00FA4F65">
        <w:rPr>
          <w:rFonts w:cs="Times New Roman"/>
          <w:i/>
        </w:rPr>
        <w:t>Le Couvent,</w:t>
      </w:r>
      <w:r w:rsidR="00B16C9E" w:rsidRPr="00FA4F65">
        <w:rPr>
          <w:rFonts w:cs="Times New Roman"/>
        </w:rPr>
        <w:t xml:space="preserve"> the abbess</w:t>
      </w:r>
      <w:r w:rsidR="003E6F74" w:rsidRPr="00FA4F65">
        <w:rPr>
          <w:rFonts w:cs="Times New Roman"/>
        </w:rPr>
        <w:t xml:space="preserve"> embodies</w:t>
      </w:r>
      <w:r w:rsidR="00B16C9E" w:rsidRPr="00FA4F65">
        <w:rPr>
          <w:rFonts w:cs="Times New Roman"/>
        </w:rPr>
        <w:t xml:space="preserve"> ‘both the corrupt aristocrat and the grasping cleric</w:t>
      </w:r>
      <w:r w:rsidRPr="00FA4F65">
        <w:rPr>
          <w:rFonts w:cs="Times New Roman"/>
        </w:rPr>
        <w:t>.</w:t>
      </w:r>
      <w:r w:rsidR="00B16C9E" w:rsidRPr="00FA4F65">
        <w:rPr>
          <w:rFonts w:cs="Times New Roman"/>
        </w:rPr>
        <w:t>’</w:t>
      </w:r>
      <w:r w:rsidR="00B16C9E" w:rsidRPr="00FA4F65">
        <w:rPr>
          <w:rStyle w:val="FootnoteReference"/>
          <w:rFonts w:cs="Times New Roman"/>
        </w:rPr>
        <w:footnoteReference w:id="64"/>
      </w:r>
      <w:r w:rsidRPr="00FA4F65">
        <w:rPr>
          <w:rFonts w:cs="Times New Roman"/>
        </w:rPr>
        <w:t xml:space="preserve"> S</w:t>
      </w:r>
      <w:r w:rsidR="00BC0B31" w:rsidRPr="00FA4F65">
        <w:rPr>
          <w:rFonts w:cs="Times New Roman"/>
        </w:rPr>
        <w:t>he is s</w:t>
      </w:r>
      <w:r w:rsidRPr="00FA4F65">
        <w:rPr>
          <w:rFonts w:cs="Times New Roman"/>
        </w:rPr>
        <w:t>trict, unsympathetic and greedy;</w:t>
      </w:r>
      <w:r w:rsidR="003E6F74" w:rsidRPr="00FA4F65">
        <w:rPr>
          <w:rFonts w:cs="Times New Roman"/>
        </w:rPr>
        <w:t xml:space="preserve"> characteristics which in 1790 related particularly well to </w:t>
      </w:r>
      <w:r w:rsidR="00BC0B31" w:rsidRPr="00FA4F65">
        <w:rPr>
          <w:rFonts w:cs="Times New Roman"/>
        </w:rPr>
        <w:t xml:space="preserve">Louis XVI </w:t>
      </w:r>
      <w:r w:rsidR="003E6F74" w:rsidRPr="00FA4F65">
        <w:rPr>
          <w:rFonts w:cs="Times New Roman"/>
        </w:rPr>
        <w:t>whose refusal to change resulted in the constitutional crisis</w:t>
      </w:r>
      <w:r w:rsidR="00BC0B31" w:rsidRPr="00FA4F65">
        <w:rPr>
          <w:rFonts w:cs="Times New Roman"/>
        </w:rPr>
        <w:t>.</w:t>
      </w:r>
      <w:r w:rsidR="00B51629" w:rsidRPr="00FA4F65">
        <w:rPr>
          <w:rFonts w:cs="Times New Roman"/>
        </w:rPr>
        <w:t xml:space="preserve"> </w:t>
      </w:r>
    </w:p>
    <w:p w:rsidR="002A4B08" w:rsidRPr="00FA4F65" w:rsidRDefault="00560536" w:rsidP="00267BB3">
      <w:pPr>
        <w:spacing w:line="480" w:lineRule="auto"/>
        <w:ind w:firstLine="720"/>
        <w:jc w:val="both"/>
        <w:rPr>
          <w:rFonts w:eastAsiaTheme="majorEastAsia" w:cs="Times New Roman"/>
        </w:rPr>
      </w:pPr>
      <w:r w:rsidRPr="00FA4F65">
        <w:rPr>
          <w:rFonts w:cs="Times New Roman"/>
        </w:rPr>
        <w:t xml:space="preserve">Finally, </w:t>
      </w:r>
      <w:r w:rsidR="00110522" w:rsidRPr="00FA4F65">
        <w:rPr>
          <w:rFonts w:cs="Times New Roman"/>
        </w:rPr>
        <w:t>‘</w:t>
      </w:r>
      <w:r w:rsidRPr="00FA4F65">
        <w:rPr>
          <w:rFonts w:cs="Times New Roman"/>
        </w:rPr>
        <w:t>w</w:t>
      </w:r>
      <w:r w:rsidR="00110522" w:rsidRPr="00FA4F65">
        <w:rPr>
          <w:rFonts w:cs="Times New Roman"/>
        </w:rPr>
        <w:t>omen who assumed the religious vocation…were frequently regarded as the saddest women of all because they lacked a purpose and had renounced their natural calling as women.’</w:t>
      </w:r>
      <w:r w:rsidR="00110522" w:rsidRPr="00FA4F65">
        <w:rPr>
          <w:rStyle w:val="FootnoteReference"/>
          <w:rFonts w:cs="Times New Roman"/>
        </w:rPr>
        <w:footnoteReference w:id="65"/>
      </w:r>
      <w:r w:rsidR="00110522" w:rsidRPr="00FA4F65">
        <w:rPr>
          <w:rFonts w:cs="Times New Roman"/>
        </w:rPr>
        <w:t xml:space="preserve"> </w:t>
      </w:r>
      <w:r w:rsidR="00C553F7" w:rsidRPr="00FA4F65">
        <w:rPr>
          <w:rFonts w:cs="Times New Roman"/>
        </w:rPr>
        <w:t>A</w:t>
      </w:r>
      <w:r w:rsidR="00810091" w:rsidRPr="00FA4F65">
        <w:rPr>
          <w:rFonts w:cs="Times New Roman"/>
        </w:rPr>
        <w:t xml:space="preserve">ccording to Rousseau, </w:t>
      </w:r>
      <w:r w:rsidR="00C553F7" w:rsidRPr="00FA4F65">
        <w:rPr>
          <w:rFonts w:cs="Times New Roman"/>
        </w:rPr>
        <w:t xml:space="preserve">rejecting the maternal role </w:t>
      </w:r>
      <w:r w:rsidR="00810091" w:rsidRPr="00FA4F65">
        <w:rPr>
          <w:rFonts w:cs="Times New Roman"/>
        </w:rPr>
        <w:t>contaminated civilisation.</w:t>
      </w:r>
      <w:r w:rsidR="00810091" w:rsidRPr="00FA4F65">
        <w:rPr>
          <w:rStyle w:val="FootnoteReference"/>
          <w:rFonts w:cs="Times New Roman"/>
        </w:rPr>
        <w:footnoteReference w:id="66"/>
      </w:r>
      <w:r w:rsidR="008D5204" w:rsidRPr="00FA4F65">
        <w:rPr>
          <w:rFonts w:cs="Times New Roman"/>
        </w:rPr>
        <w:t xml:space="preserve"> </w:t>
      </w:r>
      <w:r w:rsidR="00545716" w:rsidRPr="00FA4F65">
        <w:rPr>
          <w:rFonts w:cs="Times New Roman"/>
        </w:rPr>
        <w:t xml:space="preserve">This is applicable to all the convent plays: although they are “saved” from despotism, women are not freed from their limited social expectations. </w:t>
      </w:r>
      <w:r w:rsidR="00110522" w:rsidRPr="00FA4F65">
        <w:rPr>
          <w:rFonts w:cs="Times New Roman"/>
        </w:rPr>
        <w:t xml:space="preserve">In </w:t>
      </w:r>
      <w:r w:rsidR="00110522" w:rsidRPr="00FA4F65">
        <w:rPr>
          <w:rFonts w:cs="Times New Roman"/>
          <w:i/>
        </w:rPr>
        <w:t>Les Dragons et les Benedictines</w:t>
      </w:r>
      <w:r w:rsidR="00110522" w:rsidRPr="00FA4F65">
        <w:rPr>
          <w:rFonts w:cs="Times New Roman"/>
        </w:rPr>
        <w:t>, i</w:t>
      </w:r>
      <w:r w:rsidR="00300C4A" w:rsidRPr="00FA4F65">
        <w:rPr>
          <w:rFonts w:cs="Times New Roman"/>
        </w:rPr>
        <w:t>t is fortunate Sœur Sainte-Claire is</w:t>
      </w:r>
      <w:r w:rsidR="00C553F7" w:rsidRPr="00FA4F65">
        <w:rPr>
          <w:rFonts w:cs="Times New Roman"/>
        </w:rPr>
        <w:t xml:space="preserve"> one of the young beauties</w:t>
      </w:r>
      <w:r w:rsidR="00300C4A" w:rsidRPr="00FA4F65">
        <w:rPr>
          <w:rFonts w:cs="Times New Roman"/>
        </w:rPr>
        <w:t xml:space="preserve"> </w:t>
      </w:r>
      <w:r w:rsidR="00110522" w:rsidRPr="00FA4F65">
        <w:rPr>
          <w:rFonts w:cs="Times New Roman"/>
        </w:rPr>
        <w:t xml:space="preserve">who can be rescued by </w:t>
      </w:r>
      <w:r w:rsidR="002A4B08" w:rsidRPr="00FA4F65">
        <w:rPr>
          <w:rFonts w:cs="Times New Roman"/>
          <w:i/>
        </w:rPr>
        <w:t>«</w:t>
      </w:r>
      <w:r w:rsidR="001D3A2C" w:rsidRPr="00FA4F65">
        <w:rPr>
          <w:rFonts w:cs="Times New Roman"/>
          <w:i/>
        </w:rPr>
        <w:t xml:space="preserve"> </w:t>
      </w:r>
      <w:r w:rsidR="002A4B08" w:rsidRPr="00FA4F65">
        <w:rPr>
          <w:rFonts w:cs="Times New Roman"/>
          <w:i/>
        </w:rPr>
        <w:t>le bonheur d’un galant homme</w:t>
      </w:r>
      <w:r w:rsidR="001D3A2C" w:rsidRPr="00FA4F65">
        <w:rPr>
          <w:rFonts w:cs="Times New Roman"/>
          <w:i/>
        </w:rPr>
        <w:t xml:space="preserve"> </w:t>
      </w:r>
      <w:r w:rsidR="002A4B08" w:rsidRPr="00FA4F65">
        <w:rPr>
          <w:rFonts w:cs="Times New Roman"/>
          <w:i/>
        </w:rPr>
        <w:t>»</w:t>
      </w:r>
      <w:r w:rsidR="00C553F7" w:rsidRPr="00FA4F65">
        <w:rPr>
          <w:rFonts w:cs="Times New Roman"/>
          <w:i/>
        </w:rPr>
        <w:t>.</w:t>
      </w:r>
      <w:r w:rsidR="002A4B08" w:rsidRPr="00FA4F65">
        <w:rPr>
          <w:rStyle w:val="FootnoteReference"/>
          <w:rFonts w:cs="Times New Roman"/>
          <w:lang w:val="fr-FR"/>
        </w:rPr>
        <w:footnoteReference w:id="67"/>
      </w:r>
      <w:r w:rsidR="002A4B08" w:rsidRPr="00FA4F65">
        <w:rPr>
          <w:rFonts w:cs="Times New Roman"/>
          <w:i/>
        </w:rPr>
        <w:t xml:space="preserve"> </w:t>
      </w:r>
      <w:r w:rsidR="00C553F7" w:rsidRPr="00FA4F65">
        <w:rPr>
          <w:rFonts w:cs="Times New Roman"/>
        </w:rPr>
        <w:t>T</w:t>
      </w:r>
      <w:r w:rsidR="00300C4A" w:rsidRPr="00FA4F65">
        <w:rPr>
          <w:rFonts w:cs="Times New Roman"/>
        </w:rPr>
        <w:t xml:space="preserve">he </w:t>
      </w:r>
      <w:r w:rsidR="00545716" w:rsidRPr="00FA4F65">
        <w:rPr>
          <w:rFonts w:cs="Times New Roman"/>
        </w:rPr>
        <w:t>fates of Sœur Agn</w:t>
      </w:r>
      <w:r w:rsidR="00EC06EB">
        <w:rPr>
          <w:rFonts w:cs="Times New Roman"/>
        </w:rPr>
        <w:t>è</w:t>
      </w:r>
      <w:r w:rsidR="00545716" w:rsidRPr="00FA4F65">
        <w:rPr>
          <w:rFonts w:cs="Times New Roman"/>
        </w:rPr>
        <w:t>s or Sœur Scholastique, however, remain</w:t>
      </w:r>
      <w:r w:rsidR="007938ED" w:rsidRPr="00FA4F65">
        <w:rPr>
          <w:rFonts w:cs="Times New Roman"/>
        </w:rPr>
        <w:t xml:space="preserve"> unclear. It is frustrating to see that in this sense convent theatre is correct in depicting the situ</w:t>
      </w:r>
      <w:r w:rsidR="00495A1C" w:rsidRPr="00FA4F65">
        <w:rPr>
          <w:rFonts w:cs="Times New Roman"/>
        </w:rPr>
        <w:t>ation of women, but not out of pity</w:t>
      </w:r>
      <w:r w:rsidR="007938ED" w:rsidRPr="00FA4F65">
        <w:rPr>
          <w:rFonts w:cs="Times New Roman"/>
        </w:rPr>
        <w:t xml:space="preserve">. </w:t>
      </w:r>
      <w:r w:rsidR="00C553F7" w:rsidRPr="00EC06EB">
        <w:rPr>
          <w:rFonts w:cs="Times New Roman"/>
          <w:lang w:val="fr-FR"/>
        </w:rPr>
        <w:t>Nevertheless,</w:t>
      </w:r>
      <w:r w:rsidR="002A4B08" w:rsidRPr="00EC06EB">
        <w:rPr>
          <w:rFonts w:cs="Times New Roman"/>
          <w:lang w:val="fr-FR"/>
        </w:rPr>
        <w:t xml:space="preserve"> </w:t>
      </w:r>
      <w:r w:rsidR="002A4B08" w:rsidRPr="00EC06EB">
        <w:rPr>
          <w:rFonts w:cs="Times New Roman"/>
          <w:i/>
          <w:lang w:val="fr-FR"/>
        </w:rPr>
        <w:t>Les Dragons et les B</w:t>
      </w:r>
      <w:r w:rsidR="00EC06EB" w:rsidRPr="00EC06EB">
        <w:rPr>
          <w:rFonts w:cs="Times New Roman"/>
          <w:i/>
          <w:lang w:val="fr-FR"/>
        </w:rPr>
        <w:t>é</w:t>
      </w:r>
      <w:r w:rsidR="002A4B08" w:rsidRPr="00EC06EB">
        <w:rPr>
          <w:rFonts w:cs="Times New Roman"/>
          <w:i/>
          <w:lang w:val="fr-FR"/>
        </w:rPr>
        <w:t>n</w:t>
      </w:r>
      <w:r w:rsidR="00EC06EB">
        <w:rPr>
          <w:rFonts w:cs="Times New Roman"/>
          <w:i/>
          <w:lang w:val="fr-FR"/>
        </w:rPr>
        <w:t>é</w:t>
      </w:r>
      <w:r w:rsidR="002A4B08" w:rsidRPr="00EC06EB">
        <w:rPr>
          <w:rFonts w:cs="Times New Roman"/>
          <w:i/>
          <w:lang w:val="fr-FR"/>
        </w:rPr>
        <w:t>dictines</w:t>
      </w:r>
      <w:r w:rsidR="002A4B08" w:rsidRPr="00EC06EB">
        <w:rPr>
          <w:rFonts w:cs="Times New Roman"/>
          <w:lang w:val="fr-FR"/>
        </w:rPr>
        <w:t xml:space="preserve"> does express some change which occurred during the French Revolution: </w:t>
      </w:r>
      <w:r w:rsidR="002A4B08" w:rsidRPr="00EC06EB">
        <w:rPr>
          <w:rFonts w:cs="Times New Roman"/>
          <w:i/>
          <w:lang w:val="fr-FR"/>
        </w:rPr>
        <w:t>«</w:t>
      </w:r>
      <w:r w:rsidR="001D3A2C" w:rsidRPr="00EC06EB">
        <w:rPr>
          <w:rFonts w:cs="Times New Roman"/>
          <w:i/>
          <w:lang w:val="fr-FR"/>
        </w:rPr>
        <w:t xml:space="preserve"> </w:t>
      </w:r>
      <w:r w:rsidR="002A4B08" w:rsidRPr="00EC06EB">
        <w:rPr>
          <w:rFonts w:cs="Times New Roman"/>
          <w:i/>
          <w:lang w:val="fr-FR"/>
        </w:rPr>
        <w:t xml:space="preserve">Autrefois, en France… on épousait un nom ou une dot. </w:t>
      </w:r>
      <w:r w:rsidR="002A4B08" w:rsidRPr="00FA4F65">
        <w:rPr>
          <w:rFonts w:cs="Times New Roman"/>
          <w:i/>
        </w:rPr>
        <w:t>Aujourd’hui nous épousons des femmes</w:t>
      </w:r>
      <w:r w:rsidR="001D3A2C" w:rsidRPr="00FA4F65">
        <w:rPr>
          <w:rFonts w:cs="Times New Roman"/>
          <w:i/>
        </w:rPr>
        <w:t xml:space="preserve"> </w:t>
      </w:r>
      <w:r w:rsidR="002A4B08" w:rsidRPr="00FA4F65">
        <w:rPr>
          <w:rFonts w:cs="Times New Roman"/>
          <w:i/>
        </w:rPr>
        <w:t>».</w:t>
      </w:r>
      <w:r w:rsidR="002A4B08" w:rsidRPr="00FA4F65">
        <w:rPr>
          <w:rStyle w:val="FootnoteReference"/>
          <w:rFonts w:cs="Times New Roman"/>
          <w:lang w:val="fr-FR"/>
        </w:rPr>
        <w:footnoteReference w:id="68"/>
      </w:r>
      <w:r w:rsidR="002A4B08" w:rsidRPr="00FA4F65">
        <w:rPr>
          <w:rFonts w:cs="Times New Roman"/>
        </w:rPr>
        <w:t xml:space="preserve"> The </w:t>
      </w:r>
      <w:r w:rsidR="00EC4DC5" w:rsidRPr="00FA4F65">
        <w:rPr>
          <w:rFonts w:cs="Times New Roman"/>
        </w:rPr>
        <w:t xml:space="preserve">notion of a woman’s </w:t>
      </w:r>
      <w:r w:rsidR="002A4B08" w:rsidRPr="00FA4F65">
        <w:rPr>
          <w:rFonts w:cs="Times New Roman"/>
          <w:i/>
        </w:rPr>
        <w:t xml:space="preserve">charactère </w:t>
      </w:r>
      <w:r w:rsidR="00C553F7" w:rsidRPr="00FA4F65">
        <w:rPr>
          <w:rFonts w:cs="Times New Roman"/>
        </w:rPr>
        <w:t>th</w:t>
      </w:r>
      <w:r w:rsidR="00EC06EB">
        <w:rPr>
          <w:rFonts w:cs="Times New Roman"/>
        </w:rPr>
        <w:t>us</w:t>
      </w:r>
      <w:r w:rsidR="002A4B08" w:rsidRPr="00FA4F65">
        <w:rPr>
          <w:rFonts w:cs="Times New Roman"/>
        </w:rPr>
        <w:t xml:space="preserve"> became more important during the French Revolution, as did</w:t>
      </w:r>
      <w:r w:rsidR="00EC4DC5" w:rsidRPr="00FA4F65">
        <w:rPr>
          <w:rFonts w:cs="Times New Roman"/>
        </w:rPr>
        <w:t xml:space="preserve"> that of men</w:t>
      </w:r>
      <w:r w:rsidR="002A4B08" w:rsidRPr="00FA4F65">
        <w:rPr>
          <w:rFonts w:cs="Times New Roman"/>
        </w:rPr>
        <w:t>.</w:t>
      </w:r>
      <w:r w:rsidRPr="00FA4F65">
        <w:rPr>
          <w:rFonts w:cs="Times New Roman"/>
        </w:rPr>
        <w:t xml:space="preserve"> We can the</w:t>
      </w:r>
      <w:r w:rsidR="00545716" w:rsidRPr="00FA4F65">
        <w:rPr>
          <w:rFonts w:cs="Times New Roman"/>
        </w:rPr>
        <w:t>refore conclude that convent t</w:t>
      </w:r>
      <w:r w:rsidRPr="00FA4F65">
        <w:rPr>
          <w:rFonts w:cs="Times New Roman"/>
        </w:rPr>
        <w:t xml:space="preserve">heatre was not hugely revolutionary in calling for gender equality, but revolutionary in the sense that it was generally designed to appeal to the misogynistic audience. </w:t>
      </w:r>
    </w:p>
    <w:p w:rsidR="00E54D44" w:rsidRPr="00FA4F65" w:rsidRDefault="00E54D44" w:rsidP="00C10F99">
      <w:pPr>
        <w:pStyle w:val="Heading3"/>
        <w:spacing w:line="480" w:lineRule="auto"/>
        <w:jc w:val="center"/>
        <w:rPr>
          <w:rFonts w:cs="Times New Roman"/>
        </w:rPr>
      </w:pPr>
    </w:p>
    <w:p w:rsidR="002F5470" w:rsidRPr="00FA4F65" w:rsidRDefault="00676A1A" w:rsidP="00A20D68">
      <w:pPr>
        <w:pStyle w:val="Heading3"/>
        <w:spacing w:line="480" w:lineRule="auto"/>
        <w:jc w:val="center"/>
        <w:rPr>
          <w:rFonts w:cs="Times New Roman"/>
          <w:lang w:val="fr-FR"/>
        </w:rPr>
      </w:pPr>
      <w:r w:rsidRPr="00FA4F65">
        <w:rPr>
          <w:rFonts w:cs="Times New Roman"/>
          <w:lang w:val="fr-FR"/>
        </w:rPr>
        <w:t>Anticlericalism in Convent Theatre</w:t>
      </w:r>
    </w:p>
    <w:p w:rsidR="007F12AA" w:rsidRPr="00FA4F65" w:rsidRDefault="00F267A7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  <w:lang w:val="fr-FR"/>
        </w:rPr>
        <w:t>‘</w:t>
      </w:r>
      <w:r w:rsidR="003D2137" w:rsidRPr="00FA4F65">
        <w:rPr>
          <w:rFonts w:cs="Times New Roman"/>
          <w:i/>
          <w:lang w:val="fr-FR"/>
        </w:rPr>
        <w:t>U</w:t>
      </w:r>
      <w:r w:rsidR="009B22D1" w:rsidRPr="00FA4F65">
        <w:rPr>
          <w:rFonts w:cs="Times New Roman"/>
          <w:i/>
          <w:lang w:val="fr-FR"/>
        </w:rPr>
        <w:t>ne des passi</w:t>
      </w:r>
      <w:r w:rsidR="003D2137" w:rsidRPr="00FA4F65">
        <w:rPr>
          <w:rFonts w:cs="Times New Roman"/>
          <w:i/>
          <w:lang w:val="fr-FR"/>
        </w:rPr>
        <w:t>ons les plus actives de l’époque [était]</w:t>
      </w:r>
      <w:r w:rsidR="009B22D1" w:rsidRPr="00FA4F65">
        <w:rPr>
          <w:rFonts w:cs="Times New Roman"/>
          <w:i/>
          <w:lang w:val="fr-FR"/>
        </w:rPr>
        <w:t xml:space="preserve"> la haine des moines et du clergé</w:t>
      </w:r>
      <w:r w:rsidR="003D2137" w:rsidRPr="00FA4F65">
        <w:rPr>
          <w:rFonts w:cs="Times New Roman"/>
          <w:i/>
          <w:lang w:val="fr-FR"/>
        </w:rPr>
        <w:t>.</w:t>
      </w:r>
      <w:r w:rsidR="00EA72BF" w:rsidRPr="00FA4F65">
        <w:rPr>
          <w:rFonts w:cs="Times New Roman"/>
          <w:lang w:val="fr-FR"/>
        </w:rPr>
        <w:t>’</w:t>
      </w:r>
      <w:r w:rsidR="009B22D1" w:rsidRPr="00FA4F65">
        <w:rPr>
          <w:rStyle w:val="FootnoteReference"/>
          <w:rFonts w:cs="Times New Roman"/>
          <w:lang w:val="fr-FR"/>
        </w:rPr>
        <w:footnoteReference w:id="69"/>
      </w:r>
      <w:r w:rsidR="000F2A59" w:rsidRPr="00FA4F65">
        <w:rPr>
          <w:rFonts w:cs="Times New Roman"/>
          <w:lang w:val="fr-FR"/>
        </w:rPr>
        <w:t xml:space="preserve"> </w:t>
      </w:r>
      <w:r w:rsidR="003E6F74" w:rsidRPr="00FA4F65">
        <w:rPr>
          <w:rFonts w:cs="Times New Roman"/>
        </w:rPr>
        <w:t xml:space="preserve">Indeed, ‘the cloister … functioned as a symbol for everything wrong with … the </w:t>
      </w:r>
      <w:r w:rsidR="00192DB8">
        <w:rPr>
          <w:rFonts w:cs="Times New Roman"/>
          <w:i/>
        </w:rPr>
        <w:t>a</w:t>
      </w:r>
      <w:r w:rsidR="003E6F74" w:rsidRPr="00FA4F65">
        <w:rPr>
          <w:rFonts w:cs="Times New Roman"/>
          <w:i/>
        </w:rPr>
        <w:t xml:space="preserve">ncien </w:t>
      </w:r>
      <w:r w:rsidR="00192DB8">
        <w:rPr>
          <w:rFonts w:cs="Times New Roman"/>
          <w:i/>
        </w:rPr>
        <w:t>r</w:t>
      </w:r>
      <w:r w:rsidR="003E6F74" w:rsidRPr="00FA4F65">
        <w:rPr>
          <w:rFonts w:cs="Times New Roman"/>
          <w:i/>
        </w:rPr>
        <w:t xml:space="preserve">égime </w:t>
      </w:r>
      <w:r w:rsidR="003E6F74" w:rsidRPr="00FA4F65">
        <w:rPr>
          <w:rFonts w:cs="Times New Roman"/>
        </w:rPr>
        <w:t>– ch</w:t>
      </w:r>
      <w:r w:rsidR="00C553F7" w:rsidRPr="00FA4F65">
        <w:rPr>
          <w:rFonts w:cs="Times New Roman"/>
        </w:rPr>
        <w:t>urch, family and monarchy – led</w:t>
      </w:r>
      <w:r w:rsidR="003E6F74" w:rsidRPr="00FA4F65">
        <w:rPr>
          <w:rFonts w:cs="Times New Roman"/>
        </w:rPr>
        <w:t xml:space="preserve"> to its ultimate demise during the French Revolution’.</w:t>
      </w:r>
      <w:r w:rsidR="003E6F74" w:rsidRPr="00FA4F65">
        <w:rPr>
          <w:rStyle w:val="FootnoteReference"/>
          <w:rFonts w:cs="Times New Roman"/>
        </w:rPr>
        <w:footnoteReference w:id="70"/>
      </w:r>
      <w:r w:rsidR="00D97426" w:rsidRPr="00FA4F65">
        <w:rPr>
          <w:rFonts w:cs="Times New Roman"/>
        </w:rPr>
        <w:t xml:space="preserve"> </w:t>
      </w:r>
      <w:r w:rsidR="00F0505C" w:rsidRPr="00FA4F65">
        <w:rPr>
          <w:rFonts w:cs="Times New Roman"/>
        </w:rPr>
        <w:t xml:space="preserve">Corruption and greed within the Church were </w:t>
      </w:r>
      <w:r w:rsidR="00D97426" w:rsidRPr="00FA4F65">
        <w:rPr>
          <w:rFonts w:cs="Times New Roman"/>
        </w:rPr>
        <w:t xml:space="preserve">particularly </w:t>
      </w:r>
      <w:r w:rsidR="00F0505C" w:rsidRPr="00FA4F65">
        <w:rPr>
          <w:rFonts w:cs="Times New Roman"/>
        </w:rPr>
        <w:t xml:space="preserve">criticized during the French Revolution. </w:t>
      </w:r>
      <w:r w:rsidRPr="00FA4F65">
        <w:rPr>
          <w:rFonts w:cs="Times New Roman"/>
        </w:rPr>
        <w:t>This can be linked back to the French Revolution’s proto-socialist ideals which clash</w:t>
      </w:r>
      <w:r w:rsidR="00560536" w:rsidRPr="00FA4F65">
        <w:rPr>
          <w:rFonts w:cs="Times New Roman"/>
        </w:rPr>
        <w:t>ed</w:t>
      </w:r>
      <w:r w:rsidRPr="00FA4F65">
        <w:rPr>
          <w:rFonts w:cs="Times New Roman"/>
        </w:rPr>
        <w:t xml:space="preserve"> with the </w:t>
      </w:r>
      <w:r w:rsidR="00560536" w:rsidRPr="00FA4F65">
        <w:rPr>
          <w:rFonts w:cs="Times New Roman"/>
        </w:rPr>
        <w:t xml:space="preserve">wealthy, </w:t>
      </w:r>
      <w:r w:rsidR="00C553F7" w:rsidRPr="00FA4F65">
        <w:rPr>
          <w:rFonts w:cs="Times New Roman"/>
        </w:rPr>
        <w:t>hierarchical</w:t>
      </w:r>
      <w:r w:rsidR="00560536" w:rsidRPr="00FA4F65">
        <w:rPr>
          <w:rFonts w:cs="Times New Roman"/>
        </w:rPr>
        <w:t xml:space="preserve"> and patriarchal</w:t>
      </w:r>
      <w:r w:rsidR="00C553F7" w:rsidRPr="00FA4F65">
        <w:rPr>
          <w:rFonts w:cs="Times New Roman"/>
        </w:rPr>
        <w:t xml:space="preserve"> </w:t>
      </w:r>
      <w:r w:rsidRPr="00FA4F65">
        <w:rPr>
          <w:rFonts w:cs="Times New Roman"/>
        </w:rPr>
        <w:t xml:space="preserve">structure of the Catholic </w:t>
      </w:r>
      <w:r w:rsidR="00F0505C" w:rsidRPr="00FA4F65">
        <w:rPr>
          <w:rFonts w:cs="Times New Roman"/>
        </w:rPr>
        <w:t>Church</w:t>
      </w:r>
      <w:r w:rsidR="007F12AA" w:rsidRPr="00FA4F65">
        <w:rPr>
          <w:rFonts w:cs="Times New Roman"/>
        </w:rPr>
        <w:t xml:space="preserve">. Furthermore, corrupt clerics do not fit </w:t>
      </w:r>
      <w:r w:rsidR="00C553F7" w:rsidRPr="00FA4F65">
        <w:rPr>
          <w:rFonts w:cs="Times New Roman"/>
        </w:rPr>
        <w:t xml:space="preserve">in </w:t>
      </w:r>
      <w:r w:rsidR="007F12AA" w:rsidRPr="00FA4F65">
        <w:rPr>
          <w:rFonts w:cs="Times New Roman"/>
        </w:rPr>
        <w:t xml:space="preserve">with the Revolution’s notions of </w:t>
      </w:r>
      <w:r w:rsidR="007F12AA" w:rsidRPr="00FA4F65">
        <w:rPr>
          <w:rFonts w:cs="Times New Roman"/>
          <w:i/>
        </w:rPr>
        <w:t>vertu.</w:t>
      </w:r>
      <w:r w:rsidR="00F0505C" w:rsidRPr="00FA4F65">
        <w:rPr>
          <w:rFonts w:cs="Times New Roman"/>
        </w:rPr>
        <w:t xml:space="preserve"> Anticlerical legislation began as early as 1790 and </w:t>
      </w:r>
      <w:r w:rsidR="00C553F7" w:rsidRPr="00FA4F65">
        <w:rPr>
          <w:rFonts w:cs="Times New Roman"/>
        </w:rPr>
        <w:t xml:space="preserve">became increasingly radical. </w:t>
      </w:r>
      <w:r w:rsidR="007F12AA" w:rsidRPr="00FA4F65">
        <w:rPr>
          <w:rFonts w:cs="Times New Roman"/>
        </w:rPr>
        <w:t xml:space="preserve">Doyle </w:t>
      </w:r>
      <w:r w:rsidR="003C4E66" w:rsidRPr="00FA4F65">
        <w:rPr>
          <w:rFonts w:cs="Times New Roman"/>
        </w:rPr>
        <w:t>write</w:t>
      </w:r>
      <w:r w:rsidR="007F12AA" w:rsidRPr="00FA4F65">
        <w:rPr>
          <w:rFonts w:cs="Times New Roman"/>
        </w:rPr>
        <w:t>s that monastic orders, although they reappeared after the Revolution, ‘never proliferated as they had done under the old order’</w:t>
      </w:r>
      <w:r w:rsidR="003C4E66" w:rsidRPr="00FA4F65">
        <w:rPr>
          <w:rStyle w:val="FootnoteReference"/>
          <w:rFonts w:cs="Times New Roman"/>
        </w:rPr>
        <w:footnoteReference w:id="71"/>
      </w:r>
      <w:r w:rsidR="003C4E66" w:rsidRPr="00FA4F65">
        <w:rPr>
          <w:rFonts w:cs="Times New Roman"/>
        </w:rPr>
        <w:t xml:space="preserve"> having been portrayed, through discourse, theatre and literature as leeches on society.</w:t>
      </w:r>
    </w:p>
    <w:p w:rsidR="00F267A7" w:rsidRPr="00FA4F65" w:rsidRDefault="00F0505C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 xml:space="preserve">This anticlerical sentiment </w:t>
      </w:r>
      <w:r w:rsidR="007F12AA" w:rsidRPr="00FA4F65">
        <w:rPr>
          <w:rFonts w:cs="Times New Roman"/>
        </w:rPr>
        <w:t>became fashionable and contributed to convent theatre’s popularity.</w:t>
      </w:r>
      <w:r w:rsidR="007F12AA" w:rsidRPr="00FA4F65">
        <w:rPr>
          <w:rStyle w:val="FootnoteReference"/>
          <w:rFonts w:cs="Times New Roman"/>
        </w:rPr>
        <w:footnoteReference w:id="72"/>
      </w:r>
      <w:r w:rsidR="00A5342E" w:rsidRPr="00FA4F65">
        <w:rPr>
          <w:rFonts w:cs="Times New Roman"/>
        </w:rPr>
        <w:t xml:space="preserve"> However,</w:t>
      </w:r>
      <w:r w:rsidR="007F12AA" w:rsidRPr="00FA4F65">
        <w:rPr>
          <w:rFonts w:cs="Times New Roman"/>
        </w:rPr>
        <w:t xml:space="preserve"> in terms of content, the play</w:t>
      </w:r>
      <w:r w:rsidR="00A5342E" w:rsidRPr="00FA4F65">
        <w:rPr>
          <w:rFonts w:cs="Times New Roman"/>
        </w:rPr>
        <w:t xml:space="preserve">s are not </w:t>
      </w:r>
      <w:r w:rsidR="00892444" w:rsidRPr="00FA4F65">
        <w:rPr>
          <w:rFonts w:cs="Times New Roman"/>
        </w:rPr>
        <w:t>immensely</w:t>
      </w:r>
      <w:r w:rsidR="00A5342E" w:rsidRPr="00FA4F65">
        <w:rPr>
          <w:rFonts w:cs="Times New Roman"/>
        </w:rPr>
        <w:t xml:space="preserve"> controversial. </w:t>
      </w:r>
      <w:r w:rsidR="007F12AA" w:rsidRPr="00FA4F65">
        <w:rPr>
          <w:rFonts w:cs="Times New Roman"/>
        </w:rPr>
        <w:t>Kennedy</w:t>
      </w:r>
      <w:r w:rsidRPr="00FA4F65">
        <w:rPr>
          <w:rFonts w:cs="Times New Roman"/>
        </w:rPr>
        <w:t xml:space="preserve"> suggests the</w:t>
      </w:r>
      <w:r w:rsidR="007F12AA" w:rsidRPr="00FA4F65">
        <w:rPr>
          <w:rFonts w:cs="Times New Roman"/>
        </w:rPr>
        <w:t>ir</w:t>
      </w:r>
      <w:r w:rsidRPr="00FA4F65">
        <w:rPr>
          <w:rFonts w:cs="Times New Roman"/>
        </w:rPr>
        <w:t xml:space="preserve"> biggest attack on the </w:t>
      </w:r>
      <w:r w:rsidR="00EC4DC5" w:rsidRPr="00FA4F65">
        <w:rPr>
          <w:rFonts w:cs="Times New Roman"/>
        </w:rPr>
        <w:t>C</w:t>
      </w:r>
      <w:r w:rsidRPr="00FA4F65">
        <w:rPr>
          <w:rFonts w:cs="Times New Roman"/>
        </w:rPr>
        <w:t>hurch was the</w:t>
      </w:r>
      <w:r w:rsidR="007F12AA" w:rsidRPr="00FA4F65">
        <w:rPr>
          <w:rFonts w:cs="Times New Roman"/>
        </w:rPr>
        <w:t>ir</w:t>
      </w:r>
      <w:r w:rsidRPr="00FA4F65">
        <w:rPr>
          <w:rFonts w:cs="Times New Roman"/>
        </w:rPr>
        <w:t xml:space="preserve"> representation of religious figures on stage</w:t>
      </w:r>
      <w:r w:rsidR="007F12AA" w:rsidRPr="00FA4F65">
        <w:rPr>
          <w:rFonts w:cs="Times New Roman"/>
        </w:rPr>
        <w:t xml:space="preserve"> as opposed to genuine criticism</w:t>
      </w:r>
      <w:r w:rsidRPr="00FA4F65">
        <w:rPr>
          <w:rFonts w:cs="Times New Roman"/>
        </w:rPr>
        <w:t>.</w:t>
      </w:r>
      <w:r w:rsidRPr="00FA4F65">
        <w:rPr>
          <w:rStyle w:val="FootnoteReference"/>
          <w:rFonts w:cs="Times New Roman"/>
        </w:rPr>
        <w:footnoteReference w:id="73"/>
      </w:r>
      <w:r w:rsidRPr="00FA4F65">
        <w:rPr>
          <w:rFonts w:cs="Times New Roman"/>
        </w:rPr>
        <w:t xml:space="preserve"> </w:t>
      </w:r>
      <w:r w:rsidR="007A4C9D" w:rsidRPr="00FA4F65">
        <w:rPr>
          <w:rFonts w:cs="Times New Roman"/>
        </w:rPr>
        <w:t xml:space="preserve">As we have discussed, </w:t>
      </w:r>
      <w:r w:rsidR="007A4C9D" w:rsidRPr="00FA4F65">
        <w:rPr>
          <w:rFonts w:cs="Times New Roman"/>
          <w:i/>
        </w:rPr>
        <w:t>Le Père Louis</w:t>
      </w:r>
      <w:r w:rsidR="007A4C9D" w:rsidRPr="00FA4F65">
        <w:rPr>
          <w:rFonts w:cs="Times New Roman"/>
        </w:rPr>
        <w:t xml:space="preserve">, despite his vocation, is considered a virtuous man, as is </w:t>
      </w:r>
      <w:r w:rsidR="007A4C9D" w:rsidRPr="00FA4F65">
        <w:rPr>
          <w:rFonts w:cs="Times New Roman"/>
          <w:i/>
        </w:rPr>
        <w:t>Le cur</w:t>
      </w:r>
      <w:r w:rsidR="00EC06EB">
        <w:rPr>
          <w:rFonts w:cs="Times New Roman"/>
          <w:i/>
        </w:rPr>
        <w:t xml:space="preserve">é </w:t>
      </w:r>
      <w:r w:rsidR="007A4C9D" w:rsidRPr="00FA4F65">
        <w:rPr>
          <w:rFonts w:cs="Times New Roman"/>
        </w:rPr>
        <w:t xml:space="preserve">in </w:t>
      </w:r>
      <w:r w:rsidR="007A4C9D" w:rsidRPr="00FA4F65">
        <w:rPr>
          <w:rFonts w:cs="Times New Roman"/>
          <w:i/>
        </w:rPr>
        <w:t>Le Couvent.</w:t>
      </w:r>
      <w:r w:rsidR="007A4C9D" w:rsidRPr="00FA4F65">
        <w:rPr>
          <w:rFonts w:cs="Times New Roman"/>
        </w:rPr>
        <w:t xml:space="preserve"> In</w:t>
      </w:r>
      <w:r w:rsidRPr="00FA4F65">
        <w:rPr>
          <w:rFonts w:cs="Times New Roman"/>
        </w:rPr>
        <w:t xml:space="preserve"> terms of revolutionary action, Pigault-Lebrun’s is the only play to</w:t>
      </w:r>
      <w:r w:rsidR="001D415F" w:rsidRPr="00FA4F65">
        <w:rPr>
          <w:rFonts w:cs="Times New Roman"/>
        </w:rPr>
        <w:t xml:space="preserve"> actually</w:t>
      </w:r>
      <w:r w:rsidRPr="00FA4F65">
        <w:rPr>
          <w:rFonts w:cs="Times New Roman"/>
        </w:rPr>
        <w:t xml:space="preserve"> depict </w:t>
      </w:r>
      <w:r w:rsidR="00A5342E" w:rsidRPr="00FA4F65">
        <w:rPr>
          <w:rFonts w:cs="Times New Roman"/>
        </w:rPr>
        <w:t xml:space="preserve">the disbanding of a convent. </w:t>
      </w:r>
      <w:r w:rsidR="00AF29E7" w:rsidRPr="00FA4F65">
        <w:rPr>
          <w:rFonts w:cs="Times New Roman"/>
        </w:rPr>
        <w:t>Interestingly</w:t>
      </w:r>
      <w:r w:rsidR="00A5342E" w:rsidRPr="00FA4F65">
        <w:rPr>
          <w:rFonts w:cs="Times New Roman"/>
        </w:rPr>
        <w:t xml:space="preserve">, </w:t>
      </w:r>
      <w:r w:rsidRPr="00FA4F65">
        <w:rPr>
          <w:rFonts w:cs="Times New Roman"/>
        </w:rPr>
        <w:t xml:space="preserve">the legislation for “emancipating” nuns was written </w:t>
      </w:r>
      <w:r w:rsidR="002F5470" w:rsidRPr="00FA4F65">
        <w:rPr>
          <w:rFonts w:cs="Times New Roman"/>
        </w:rPr>
        <w:t xml:space="preserve">early </w:t>
      </w:r>
      <w:r w:rsidRPr="00FA4F65">
        <w:rPr>
          <w:rFonts w:cs="Times New Roman"/>
        </w:rPr>
        <w:t xml:space="preserve">in 1790, </w:t>
      </w:r>
      <w:r w:rsidR="002F5470" w:rsidRPr="00FA4F65">
        <w:rPr>
          <w:rFonts w:cs="Times New Roman"/>
        </w:rPr>
        <w:t>suggesting</w:t>
      </w:r>
      <w:r w:rsidRPr="00FA4F65">
        <w:rPr>
          <w:rFonts w:cs="Times New Roman"/>
        </w:rPr>
        <w:t xml:space="preserve"> a</w:t>
      </w:r>
      <w:r w:rsidR="001D415F" w:rsidRPr="00FA4F65">
        <w:rPr>
          <w:rFonts w:cs="Times New Roman"/>
        </w:rPr>
        <w:t xml:space="preserve"> significant</w:t>
      </w:r>
      <w:r w:rsidRPr="00FA4F65">
        <w:rPr>
          <w:rFonts w:cs="Times New Roman"/>
        </w:rPr>
        <w:t xml:space="preserve"> delay in</w:t>
      </w:r>
      <w:r w:rsidR="001D415F" w:rsidRPr="00FA4F65">
        <w:rPr>
          <w:rFonts w:cs="Times New Roman"/>
        </w:rPr>
        <w:t xml:space="preserve"> the</w:t>
      </w:r>
      <w:r w:rsidR="00AF29E7" w:rsidRPr="00FA4F65">
        <w:rPr>
          <w:rFonts w:cs="Times New Roman"/>
        </w:rPr>
        <w:t xml:space="preserve"> theatre reflecting the </w:t>
      </w:r>
      <w:r w:rsidR="00A5342E" w:rsidRPr="00FA4F65">
        <w:rPr>
          <w:rFonts w:cs="Times New Roman"/>
        </w:rPr>
        <w:t>politics</w:t>
      </w:r>
      <w:r w:rsidR="00AF29E7" w:rsidRPr="00FA4F65">
        <w:rPr>
          <w:rFonts w:cs="Times New Roman"/>
        </w:rPr>
        <w:t xml:space="preserve"> of the French Revolution</w:t>
      </w:r>
      <w:r w:rsidR="00A5342E" w:rsidRPr="00FA4F65">
        <w:rPr>
          <w:rFonts w:cs="Times New Roman"/>
        </w:rPr>
        <w:t xml:space="preserve">. </w:t>
      </w:r>
      <w:r w:rsidR="001D415F" w:rsidRPr="00FA4F65">
        <w:rPr>
          <w:rFonts w:cs="Times New Roman"/>
        </w:rPr>
        <w:t>Furthermore w</w:t>
      </w:r>
      <w:r w:rsidR="00A5342E" w:rsidRPr="00FA4F65">
        <w:rPr>
          <w:rFonts w:cs="Times New Roman"/>
        </w:rPr>
        <w:t>hil</w:t>
      </w:r>
      <w:r w:rsidR="001D415F" w:rsidRPr="00FA4F65">
        <w:rPr>
          <w:rFonts w:cs="Times New Roman"/>
        </w:rPr>
        <w:t>e</w:t>
      </w:r>
      <w:r w:rsidR="00A5342E" w:rsidRPr="00FA4F65">
        <w:rPr>
          <w:rFonts w:cs="Times New Roman"/>
        </w:rPr>
        <w:t xml:space="preserve"> </w:t>
      </w:r>
      <w:r w:rsidR="00A5342E" w:rsidRPr="00FA4F65">
        <w:rPr>
          <w:rFonts w:cs="Times New Roman"/>
          <w:i/>
        </w:rPr>
        <w:t>Les Dragon</w:t>
      </w:r>
      <w:r w:rsidR="001D415F" w:rsidRPr="00FA4F65">
        <w:rPr>
          <w:rFonts w:cs="Times New Roman"/>
          <w:i/>
        </w:rPr>
        <w:t>s</w:t>
      </w:r>
      <w:r w:rsidR="00A5342E" w:rsidRPr="00FA4F65">
        <w:rPr>
          <w:rFonts w:cs="Times New Roman"/>
        </w:rPr>
        <w:t xml:space="preserve"> remains rooted in the Christian setting, by 1794 Catholicism was being replaced by the cult of the Supreme Being amongst a downpour of secular discourse.</w:t>
      </w:r>
      <w:r w:rsidRPr="00FA4F65">
        <w:rPr>
          <w:rFonts w:cs="Times New Roman"/>
        </w:rPr>
        <w:t xml:space="preserve"> </w:t>
      </w:r>
      <w:r w:rsidR="001D415F" w:rsidRPr="00FA4F65">
        <w:rPr>
          <w:rFonts w:cs="Times New Roman"/>
        </w:rPr>
        <w:t>Arguably therefore convent theatre did not uphold requirements to promote a revolutionary, secular message.</w:t>
      </w:r>
    </w:p>
    <w:p w:rsidR="00241C91" w:rsidRPr="00FA4F65" w:rsidRDefault="001D415F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 xml:space="preserve">Let us now consider some of the attacks on the clergy. </w:t>
      </w:r>
      <w:r w:rsidR="00513896" w:rsidRPr="00FA4F65">
        <w:rPr>
          <w:rFonts w:cs="Times New Roman"/>
          <w:i/>
          <w:lang w:val="fr-FR"/>
        </w:rPr>
        <w:t>Les Visitandines</w:t>
      </w:r>
      <w:r w:rsidR="00513896" w:rsidRPr="00FA4F65">
        <w:rPr>
          <w:rFonts w:cs="Times New Roman"/>
          <w:lang w:val="fr-FR"/>
        </w:rPr>
        <w:t xml:space="preserve"> arguably conta</w:t>
      </w:r>
      <w:r w:rsidR="00CF01A9" w:rsidRPr="00FA4F65">
        <w:rPr>
          <w:rFonts w:cs="Times New Roman"/>
          <w:lang w:val="fr-FR"/>
        </w:rPr>
        <w:t>ins the most anticlerical jibes:</w:t>
      </w:r>
      <w:r w:rsidR="008E6F80" w:rsidRPr="00FA4F65">
        <w:rPr>
          <w:rFonts w:cs="Times New Roman"/>
          <w:lang w:val="fr-FR"/>
        </w:rPr>
        <w:t xml:space="preserve"> ‘</w:t>
      </w:r>
      <w:r w:rsidR="00CF01A9" w:rsidRPr="00FA4F65">
        <w:rPr>
          <w:rFonts w:cs="Times New Roman"/>
          <w:i/>
          <w:lang w:val="fr-FR"/>
        </w:rPr>
        <w:t>le succès le mit véritablement en vue…on y trouvait en quintessence … tout ce qui, depuis tant d’années, se distillait de malice contre les nonnes et les couvents’</w:t>
      </w:r>
      <w:r w:rsidR="00CF01A9" w:rsidRPr="00FA4F65">
        <w:rPr>
          <w:rFonts w:cs="Times New Roman"/>
          <w:lang w:val="fr-FR"/>
        </w:rPr>
        <w:t>.</w:t>
      </w:r>
      <w:r w:rsidR="00CF01A9" w:rsidRPr="00FA4F65">
        <w:rPr>
          <w:rStyle w:val="FootnoteReference"/>
          <w:rFonts w:cs="Times New Roman"/>
          <w:lang w:val="fr-FR"/>
        </w:rPr>
        <w:footnoteReference w:id="74"/>
      </w:r>
      <w:r w:rsidR="00513896" w:rsidRPr="00FA4F65">
        <w:rPr>
          <w:rFonts w:cs="Times New Roman"/>
          <w:lang w:val="fr-FR"/>
        </w:rPr>
        <w:t xml:space="preserve"> Frontin describes the convent as </w:t>
      </w:r>
      <w:r w:rsidR="00513896" w:rsidRPr="00FA4F65">
        <w:rPr>
          <w:rFonts w:cs="Times New Roman"/>
          <w:i/>
          <w:lang w:val="fr-FR"/>
        </w:rPr>
        <w:t>«</w:t>
      </w:r>
      <w:r w:rsidR="008E6F80" w:rsidRPr="00FA4F65">
        <w:rPr>
          <w:rFonts w:cs="Times New Roman"/>
          <w:i/>
          <w:lang w:val="fr-FR"/>
        </w:rPr>
        <w:t> une sotte communauté </w:t>
      </w:r>
      <w:r w:rsidR="00513896" w:rsidRPr="00FA4F65">
        <w:rPr>
          <w:rFonts w:cs="Times New Roman"/>
          <w:i/>
          <w:lang w:val="fr-FR"/>
        </w:rPr>
        <w:t>»</w:t>
      </w:r>
      <w:r w:rsidR="00513896" w:rsidRPr="00FA4F65">
        <w:rPr>
          <w:rStyle w:val="FootnoteReference"/>
          <w:rFonts w:cs="Times New Roman"/>
          <w:lang w:val="fr-FR"/>
        </w:rPr>
        <w:footnoteReference w:id="75"/>
      </w:r>
      <w:r w:rsidR="00513896" w:rsidRPr="00FA4F65">
        <w:rPr>
          <w:rFonts w:cs="Times New Roman"/>
          <w:lang w:val="fr-FR"/>
        </w:rPr>
        <w:t xml:space="preserve"> a</w:t>
      </w:r>
      <w:r w:rsidR="00AF29E7" w:rsidRPr="00FA4F65">
        <w:rPr>
          <w:rFonts w:cs="Times New Roman"/>
          <w:lang w:val="fr-FR"/>
        </w:rPr>
        <w:t xml:space="preserve">nd La Tourière admits </w:t>
      </w:r>
      <w:r w:rsidR="00513896" w:rsidRPr="00FA4F65">
        <w:rPr>
          <w:rFonts w:cs="Times New Roman"/>
          <w:lang w:val="fr-FR"/>
        </w:rPr>
        <w:t>religious</w:t>
      </w:r>
      <w:r w:rsidR="00AF29E7" w:rsidRPr="00FA4F65">
        <w:rPr>
          <w:rFonts w:cs="Times New Roman"/>
          <w:lang w:val="fr-FR"/>
        </w:rPr>
        <w:t xml:space="preserve"> women</w:t>
      </w:r>
      <w:r w:rsidR="00513896" w:rsidRPr="00FA4F65">
        <w:rPr>
          <w:rFonts w:cs="Times New Roman"/>
          <w:lang w:val="fr-FR"/>
        </w:rPr>
        <w:t xml:space="preserve"> are not perfect: </w:t>
      </w:r>
      <w:r w:rsidR="008E6F80" w:rsidRPr="00FA4F65">
        <w:rPr>
          <w:rFonts w:cs="Times New Roman"/>
          <w:lang w:val="fr-FR"/>
        </w:rPr>
        <w:t>« </w:t>
      </w:r>
      <w:r w:rsidR="00513896" w:rsidRPr="00FA4F65">
        <w:rPr>
          <w:rFonts w:cs="Times New Roman"/>
          <w:i/>
          <w:lang w:val="fr-FR"/>
        </w:rPr>
        <w:t xml:space="preserve">sœur Sainte-Ange est bavarde, sœur Joséphine est coquette, </w:t>
      </w:r>
      <w:r w:rsidR="008E6F80" w:rsidRPr="00FA4F65">
        <w:rPr>
          <w:rFonts w:cs="Times New Roman"/>
          <w:i/>
          <w:lang w:val="fr-FR"/>
        </w:rPr>
        <w:t>sœur</w:t>
      </w:r>
      <w:r w:rsidR="00513896" w:rsidRPr="00FA4F65">
        <w:rPr>
          <w:rFonts w:cs="Times New Roman"/>
          <w:i/>
          <w:lang w:val="fr-FR"/>
        </w:rPr>
        <w:t xml:space="preserve"> Augustine fait la prud</w:t>
      </w:r>
      <w:r w:rsidR="00DE6929" w:rsidRPr="00FA4F65">
        <w:rPr>
          <w:rFonts w:cs="Times New Roman"/>
          <w:i/>
          <w:lang w:val="fr-FR"/>
        </w:rPr>
        <w:t>e</w:t>
      </w:r>
      <w:r w:rsidR="008E6F80" w:rsidRPr="00FA4F65">
        <w:rPr>
          <w:rFonts w:cs="Times New Roman"/>
          <w:i/>
          <w:lang w:val="fr-FR"/>
        </w:rPr>
        <w:t> </w:t>
      </w:r>
      <w:r w:rsidR="00513896" w:rsidRPr="00FA4F65">
        <w:rPr>
          <w:rFonts w:cs="Times New Roman"/>
          <w:i/>
          <w:lang w:val="fr-FR"/>
        </w:rPr>
        <w:t>»</w:t>
      </w:r>
      <w:r w:rsidR="00DE6929" w:rsidRPr="00FA4F65">
        <w:rPr>
          <w:rFonts w:cs="Times New Roman"/>
          <w:i/>
          <w:lang w:val="fr-FR"/>
        </w:rPr>
        <w:t>.</w:t>
      </w:r>
      <w:r w:rsidR="00513896" w:rsidRPr="00FA4F65">
        <w:rPr>
          <w:rStyle w:val="FootnoteReference"/>
          <w:rFonts w:cs="Times New Roman"/>
          <w:lang w:val="fr-FR"/>
        </w:rPr>
        <w:footnoteReference w:id="76"/>
      </w:r>
      <w:r w:rsidR="00513896" w:rsidRPr="00FA4F65">
        <w:rPr>
          <w:rFonts w:cs="Times New Roman"/>
          <w:lang w:val="fr-FR"/>
        </w:rPr>
        <w:t xml:space="preserve"> </w:t>
      </w:r>
      <w:r w:rsidR="002F5470" w:rsidRPr="00FA4F65">
        <w:rPr>
          <w:rFonts w:cs="Times New Roman"/>
        </w:rPr>
        <w:t>Such criticisms</w:t>
      </w:r>
      <w:r w:rsidR="00513896" w:rsidRPr="00FA4F65">
        <w:rPr>
          <w:rFonts w:cs="Times New Roman"/>
        </w:rPr>
        <w:t xml:space="preserve"> hardly </w:t>
      </w:r>
      <w:r w:rsidR="002F5470" w:rsidRPr="00FA4F65">
        <w:rPr>
          <w:rFonts w:cs="Times New Roman"/>
        </w:rPr>
        <w:t>reflect</w:t>
      </w:r>
      <w:r w:rsidR="00513896" w:rsidRPr="00FA4F65">
        <w:rPr>
          <w:rFonts w:cs="Times New Roman"/>
        </w:rPr>
        <w:t xml:space="preserve"> the anticlerical legislation being passed between 1790 and 1792.</w:t>
      </w:r>
      <w:r w:rsidR="008E6F80" w:rsidRPr="00FA4F65">
        <w:rPr>
          <w:rFonts w:cs="Times New Roman"/>
        </w:rPr>
        <w:t xml:space="preserve"> </w:t>
      </w:r>
      <w:r w:rsidR="00EC06EB">
        <w:rPr>
          <w:rFonts w:cs="Times New Roman"/>
        </w:rPr>
        <w:t>However, they appear more</w:t>
      </w:r>
      <w:r w:rsidR="008E6F80" w:rsidRPr="00FA4F65">
        <w:rPr>
          <w:rFonts w:cs="Times New Roman"/>
        </w:rPr>
        <w:t xml:space="preserve"> insulting towards women than towards the church, using stereotypically gendered adjectives. This </w:t>
      </w:r>
      <w:r w:rsidR="00EC06EB">
        <w:rPr>
          <w:rFonts w:cs="Times New Roman"/>
        </w:rPr>
        <w:t>support</w:t>
      </w:r>
      <w:r w:rsidR="00447F14">
        <w:rPr>
          <w:rFonts w:cs="Times New Roman"/>
        </w:rPr>
        <w:t>s</w:t>
      </w:r>
      <w:r w:rsidR="008E6F80" w:rsidRPr="00FA4F65">
        <w:rPr>
          <w:rFonts w:cs="Times New Roman"/>
        </w:rPr>
        <w:t xml:space="preserve"> what Choudhury describes as </w:t>
      </w:r>
      <w:r w:rsidR="00EC06EB">
        <w:rPr>
          <w:rFonts w:cs="Times New Roman"/>
        </w:rPr>
        <w:t>‘gendered anticlericalism,’ where</w:t>
      </w:r>
      <w:r w:rsidR="009E676A" w:rsidRPr="00FA4F65">
        <w:rPr>
          <w:rFonts w:cs="Times New Roman"/>
        </w:rPr>
        <w:t xml:space="preserve"> </w:t>
      </w:r>
      <w:r w:rsidR="00EC06EB">
        <w:rPr>
          <w:rFonts w:cs="Times New Roman"/>
        </w:rPr>
        <w:t xml:space="preserve">nuns were reduced to the limited image of women and </w:t>
      </w:r>
      <w:r w:rsidR="00DC7E8C" w:rsidRPr="00FA4F65">
        <w:rPr>
          <w:rFonts w:cs="Times New Roman"/>
        </w:rPr>
        <w:t>‘</w:t>
      </w:r>
      <w:r w:rsidR="0050380F" w:rsidRPr="00FA4F65">
        <w:rPr>
          <w:rFonts w:cs="Times New Roman"/>
        </w:rPr>
        <w:t>victims</w:t>
      </w:r>
      <w:r w:rsidR="00EC06EB">
        <w:rPr>
          <w:rFonts w:cs="Times New Roman"/>
        </w:rPr>
        <w:t>,</w:t>
      </w:r>
      <w:r w:rsidR="00DC7E8C" w:rsidRPr="00FA4F65">
        <w:rPr>
          <w:rFonts w:cs="Times New Roman"/>
        </w:rPr>
        <w:t>’</w:t>
      </w:r>
      <w:r w:rsidR="00FA3B5D" w:rsidRPr="00FA4F65">
        <w:rPr>
          <w:rFonts w:cs="Times New Roman"/>
        </w:rPr>
        <w:t xml:space="preserve"> </w:t>
      </w:r>
      <w:r w:rsidR="00EC06EB">
        <w:rPr>
          <w:rFonts w:cs="Times New Roman"/>
        </w:rPr>
        <w:t xml:space="preserve">yet </w:t>
      </w:r>
      <w:r w:rsidR="0050380F" w:rsidRPr="00FA4F65">
        <w:rPr>
          <w:rFonts w:cs="Times New Roman"/>
        </w:rPr>
        <w:t xml:space="preserve">monks were </w:t>
      </w:r>
      <w:r w:rsidR="00EC06EB">
        <w:rPr>
          <w:rFonts w:cs="Times New Roman"/>
        </w:rPr>
        <w:t xml:space="preserve">generally regarded as the most </w:t>
      </w:r>
      <w:r w:rsidR="00447F14">
        <w:rPr>
          <w:rFonts w:cs="Times New Roman"/>
        </w:rPr>
        <w:t>immoral</w:t>
      </w:r>
      <w:r w:rsidR="00EC06EB">
        <w:rPr>
          <w:rFonts w:cs="Times New Roman"/>
        </w:rPr>
        <w:t xml:space="preserve"> of men, </w:t>
      </w:r>
      <w:r w:rsidR="0050380F" w:rsidRPr="00FA4F65">
        <w:rPr>
          <w:rFonts w:cs="Times New Roman"/>
        </w:rPr>
        <w:t>‘parasitic clerics.’</w:t>
      </w:r>
      <w:r w:rsidR="0050380F" w:rsidRPr="00FA4F65">
        <w:rPr>
          <w:rStyle w:val="FootnoteReference"/>
          <w:rFonts w:cs="Times New Roman"/>
        </w:rPr>
        <w:footnoteReference w:id="77"/>
      </w:r>
      <w:r w:rsidR="0050380F" w:rsidRPr="00FA4F65">
        <w:rPr>
          <w:rFonts w:cs="Times New Roman"/>
        </w:rPr>
        <w:t xml:space="preserve"> </w:t>
      </w:r>
    </w:p>
    <w:p w:rsidR="00241C91" w:rsidRPr="00FA4F65" w:rsidRDefault="00241C91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 xml:space="preserve">The genre’s obsession with and criticism of forced vocations proves even more interesting given Choudhury’s research which suggests the numbers of documented cases of </w:t>
      </w:r>
      <w:r w:rsidRPr="00FA4F65">
        <w:rPr>
          <w:rFonts w:cs="Times New Roman"/>
          <w:i/>
        </w:rPr>
        <w:t xml:space="preserve">voeux forcés </w:t>
      </w:r>
      <w:r w:rsidRPr="00FA4F65">
        <w:rPr>
          <w:rFonts w:cs="Times New Roman"/>
        </w:rPr>
        <w:t>or involuntary enclosure were much lower than suggested.</w:t>
      </w:r>
      <w:r w:rsidRPr="00FA4F65">
        <w:rPr>
          <w:rStyle w:val="FootnoteReference"/>
          <w:rFonts w:cs="Times New Roman"/>
        </w:rPr>
        <w:footnoteReference w:id="78"/>
      </w:r>
      <w:r w:rsidRPr="00FA4F65">
        <w:rPr>
          <w:rFonts w:cs="Times New Roman"/>
        </w:rPr>
        <w:t xml:space="preserve"> Doyle writes that whilst</w:t>
      </w:r>
      <w:r w:rsidR="00F73369" w:rsidRPr="00FA4F65">
        <w:rPr>
          <w:rFonts w:cs="Times New Roman"/>
        </w:rPr>
        <w:t xml:space="preserve"> </w:t>
      </w:r>
      <w:r w:rsidR="0050380F" w:rsidRPr="00FA4F65">
        <w:rPr>
          <w:rFonts w:cs="Times New Roman"/>
        </w:rPr>
        <w:t>the monks appeared to welcome release from their vows</w:t>
      </w:r>
      <w:r w:rsidR="00F73369" w:rsidRPr="00FA4F65">
        <w:rPr>
          <w:rFonts w:cs="Times New Roman"/>
        </w:rPr>
        <w:t xml:space="preserve"> in 1790, </w:t>
      </w:r>
      <w:r w:rsidR="0050380F" w:rsidRPr="00FA4F65">
        <w:rPr>
          <w:rFonts w:cs="Times New Roman"/>
        </w:rPr>
        <w:t xml:space="preserve">the nuns ‘were almost unanimous in opposing the </w:t>
      </w:r>
      <w:r w:rsidRPr="00FA4F65">
        <w:rPr>
          <w:rFonts w:cs="Times New Roman"/>
        </w:rPr>
        <w:t>dissolution of their convents’.</w:t>
      </w:r>
      <w:r w:rsidR="0050380F" w:rsidRPr="00FA4F65">
        <w:rPr>
          <w:rStyle w:val="FootnoteReference"/>
          <w:rFonts w:cs="Times New Roman"/>
        </w:rPr>
        <w:footnoteReference w:id="79"/>
      </w:r>
      <w:r w:rsidRPr="00FA4F65">
        <w:rPr>
          <w:rFonts w:cs="Times New Roman"/>
        </w:rPr>
        <w:t xml:space="preserve"> </w:t>
      </w:r>
      <w:r w:rsidR="00545716" w:rsidRPr="00FA4F65">
        <w:rPr>
          <w:rFonts w:cs="Times New Roman"/>
        </w:rPr>
        <w:t>The inverse, however, is reflected in the ‘gender disparity between the handful of plays featuring monks and the dozens focusing on nuns’.</w:t>
      </w:r>
      <w:r w:rsidR="00545716" w:rsidRPr="00FA4F65">
        <w:rPr>
          <w:rStyle w:val="FootnoteReference"/>
          <w:rFonts w:cs="Times New Roman"/>
        </w:rPr>
        <w:footnoteReference w:id="80"/>
      </w:r>
      <w:r w:rsidR="00545716" w:rsidRPr="00FA4F65">
        <w:rPr>
          <w:rFonts w:cs="Times New Roman"/>
        </w:rPr>
        <w:t xml:space="preserve"> </w:t>
      </w:r>
      <w:r w:rsidRPr="00FA4F65">
        <w:rPr>
          <w:rFonts w:cs="Times New Roman"/>
        </w:rPr>
        <w:t>Monvel’s p</w:t>
      </w:r>
      <w:r w:rsidR="00447F14">
        <w:rPr>
          <w:rFonts w:cs="Times New Roman"/>
        </w:rPr>
        <w:t>lay is thus revolutionary by</w:t>
      </w:r>
      <w:r w:rsidR="0074017F" w:rsidRPr="00FA4F65">
        <w:rPr>
          <w:rFonts w:cs="Times New Roman"/>
        </w:rPr>
        <w:t xml:space="preserve"> highlighting a male victim of</w:t>
      </w:r>
      <w:r w:rsidR="0050380F" w:rsidRPr="00FA4F65">
        <w:rPr>
          <w:rFonts w:cs="Times New Roman"/>
        </w:rPr>
        <w:t xml:space="preserve"> </w:t>
      </w:r>
      <w:r w:rsidR="0074017F" w:rsidRPr="00FA4F65">
        <w:rPr>
          <w:rFonts w:cs="Times New Roman"/>
        </w:rPr>
        <w:t>clerical</w:t>
      </w:r>
      <w:r w:rsidR="00FA3B5D" w:rsidRPr="00FA4F65">
        <w:rPr>
          <w:rFonts w:cs="Times New Roman"/>
        </w:rPr>
        <w:t xml:space="preserve"> despotism</w:t>
      </w:r>
      <w:r w:rsidR="0074017F" w:rsidRPr="00FA4F65">
        <w:rPr>
          <w:rFonts w:cs="Times New Roman"/>
        </w:rPr>
        <w:t xml:space="preserve">. </w:t>
      </w:r>
      <w:r w:rsidR="00A11C36" w:rsidRPr="00FA4F65">
        <w:rPr>
          <w:rFonts w:cs="Times New Roman"/>
          <w:lang w:val="fr-FR"/>
        </w:rPr>
        <w:t xml:space="preserve">Moreover, De Souza questions </w:t>
      </w:r>
      <w:r w:rsidR="00A11C36" w:rsidRPr="00FA4F65">
        <w:rPr>
          <w:rFonts w:cs="Times New Roman"/>
          <w:i/>
          <w:lang w:val="fr-FR"/>
        </w:rPr>
        <w:t>Les Visitandines’</w:t>
      </w:r>
      <w:r w:rsidR="00A11C36" w:rsidRPr="00FA4F65">
        <w:rPr>
          <w:rFonts w:cs="Times New Roman"/>
          <w:lang w:val="fr-FR"/>
        </w:rPr>
        <w:t xml:space="preserve"> place in anticlerical theatre: ‘</w:t>
      </w:r>
      <w:r w:rsidR="00A11C36" w:rsidRPr="00FA4F65">
        <w:rPr>
          <w:rFonts w:cs="Times New Roman"/>
          <w:i/>
          <w:lang w:val="fr-FR"/>
        </w:rPr>
        <w:t>il est vrai qu’on y voit une jeune fille qui veut se faire religieuse parce qu’elle se croit oubliée ; mais personne ne l’y oblige</w:t>
      </w:r>
      <w:r w:rsidR="00A11C36" w:rsidRPr="00FA4F65">
        <w:rPr>
          <w:rFonts w:cs="Times New Roman"/>
          <w:lang w:val="fr-FR"/>
        </w:rPr>
        <w:t>’</w:t>
      </w:r>
      <w:r w:rsidR="00A11C36" w:rsidRPr="00FA4F65">
        <w:rPr>
          <w:rFonts w:cs="Times New Roman"/>
          <w:i/>
          <w:lang w:val="fr-FR"/>
        </w:rPr>
        <w:t>.</w:t>
      </w:r>
      <w:r w:rsidR="00A11C36" w:rsidRPr="00FA4F65">
        <w:rPr>
          <w:rStyle w:val="FootnoteReference"/>
          <w:rFonts w:cs="Times New Roman"/>
          <w:lang w:val="fr-FR"/>
        </w:rPr>
        <w:footnoteReference w:id="81"/>
      </w:r>
      <w:r w:rsidR="00A11C36" w:rsidRPr="00FA4F65">
        <w:rPr>
          <w:rFonts w:cs="Times New Roman"/>
          <w:i/>
          <w:lang w:val="fr-FR"/>
        </w:rPr>
        <w:t xml:space="preserve"> </w:t>
      </w:r>
      <w:r w:rsidR="00A11C36" w:rsidRPr="00FA4F65">
        <w:rPr>
          <w:rFonts w:cs="Times New Roman"/>
        </w:rPr>
        <w:t xml:space="preserve">Like Julie in </w:t>
      </w:r>
      <w:r w:rsidR="00A11C36" w:rsidRPr="00FA4F65">
        <w:rPr>
          <w:rFonts w:cs="Times New Roman"/>
          <w:i/>
        </w:rPr>
        <w:t>Le Couvent,</w:t>
      </w:r>
      <w:r w:rsidR="00A11C36" w:rsidRPr="00FA4F65">
        <w:rPr>
          <w:rFonts w:cs="Times New Roman"/>
        </w:rPr>
        <w:t xml:space="preserve"> so long as she does not say her vows, she remains free. Although, perhaps this is expecting too great a freedom of expression from women both within and outside of theatre. However,</w:t>
      </w:r>
      <w:r w:rsidRPr="00FA4F65">
        <w:rPr>
          <w:rFonts w:cs="Times New Roman"/>
        </w:rPr>
        <w:t xml:space="preserve"> if the genre does not reflect the reality of forced vows, it could be argued that convent theatre was </w:t>
      </w:r>
      <w:r w:rsidR="00A11C36" w:rsidRPr="00FA4F65">
        <w:rPr>
          <w:rFonts w:cs="Times New Roman"/>
        </w:rPr>
        <w:t xml:space="preserve">in fact </w:t>
      </w:r>
      <w:r w:rsidRPr="00FA4F65">
        <w:rPr>
          <w:rFonts w:cs="Times New Roman"/>
        </w:rPr>
        <w:t xml:space="preserve">not dedicated to emancipating women (from religious or other limited expectations) nor </w:t>
      </w:r>
      <w:r w:rsidR="00A11C36" w:rsidRPr="00FA4F65">
        <w:rPr>
          <w:rFonts w:cs="Times New Roman"/>
        </w:rPr>
        <w:t xml:space="preserve">even </w:t>
      </w:r>
      <w:r w:rsidRPr="00FA4F65">
        <w:rPr>
          <w:rFonts w:cs="Times New Roman"/>
        </w:rPr>
        <w:t>criticising the church</w:t>
      </w:r>
      <w:r w:rsidR="00A11C36" w:rsidRPr="00FA4F65">
        <w:rPr>
          <w:rFonts w:cs="Times New Roman"/>
        </w:rPr>
        <w:t xml:space="preserve"> but</w:t>
      </w:r>
      <w:r w:rsidRPr="00FA4F65">
        <w:rPr>
          <w:rFonts w:cs="Times New Roman"/>
        </w:rPr>
        <w:t xml:space="preserve"> that its primary aim was to be a propaganda tool</w:t>
      </w:r>
      <w:r w:rsidR="00A11C36" w:rsidRPr="00FA4F65">
        <w:rPr>
          <w:rFonts w:cs="Times New Roman"/>
        </w:rPr>
        <w:t xml:space="preserve"> for the revolutionary ideal of liberty and thus</w:t>
      </w:r>
      <w:r w:rsidR="00FB6180" w:rsidRPr="00FA4F65">
        <w:rPr>
          <w:rFonts w:cs="Times New Roman"/>
        </w:rPr>
        <w:t xml:space="preserve"> only truly criticises the convent’s restrictive nature</w:t>
      </w:r>
      <w:r w:rsidR="00A11C36" w:rsidRPr="00FA4F65">
        <w:rPr>
          <w:rFonts w:cs="Times New Roman"/>
        </w:rPr>
        <w:t>.</w:t>
      </w:r>
      <w:r w:rsidRPr="00FA4F65">
        <w:rPr>
          <w:rFonts w:cs="Times New Roman"/>
        </w:rPr>
        <w:t xml:space="preserve"> </w:t>
      </w:r>
    </w:p>
    <w:p w:rsidR="00513896" w:rsidRPr="00FA4F65" w:rsidRDefault="008E6F80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>Finally, t</w:t>
      </w:r>
      <w:r w:rsidR="00513896" w:rsidRPr="00FA4F65">
        <w:rPr>
          <w:rFonts w:cs="Times New Roman"/>
        </w:rPr>
        <w:t>he plays certainly did not question</w:t>
      </w:r>
      <w:r w:rsidR="00DC7E8C" w:rsidRPr="00FA4F65">
        <w:rPr>
          <w:rFonts w:cs="Times New Roman"/>
        </w:rPr>
        <w:t xml:space="preserve"> the existence of God which would have reflected</w:t>
      </w:r>
      <w:r w:rsidR="00513896" w:rsidRPr="00FA4F65">
        <w:rPr>
          <w:rFonts w:cs="Times New Roman"/>
        </w:rPr>
        <w:t xml:space="preserve"> enlightenment critic</w:t>
      </w:r>
      <w:r w:rsidR="00DC7E8C" w:rsidRPr="00FA4F65">
        <w:rPr>
          <w:rFonts w:cs="Times New Roman"/>
        </w:rPr>
        <w:t>ism of religious institutions. T</w:t>
      </w:r>
      <w:r w:rsidR="00513896" w:rsidRPr="00FA4F65">
        <w:rPr>
          <w:rFonts w:cs="Times New Roman"/>
        </w:rPr>
        <w:t xml:space="preserve">he </w:t>
      </w:r>
      <w:r w:rsidR="00513896" w:rsidRPr="00FA4F65">
        <w:rPr>
          <w:rFonts w:cs="Times New Roman"/>
          <w:i/>
        </w:rPr>
        <w:t>philosophe</w:t>
      </w:r>
      <w:r w:rsidR="00513896" w:rsidRPr="00FA4F65">
        <w:rPr>
          <w:rFonts w:cs="Times New Roman"/>
        </w:rPr>
        <w:t xml:space="preserve"> Voltaire died ‘</w:t>
      </w:r>
      <w:r w:rsidR="00513896" w:rsidRPr="00FA4F65">
        <w:rPr>
          <w:rFonts w:cs="Times New Roman"/>
          <w:i/>
        </w:rPr>
        <w:t>en adorant Dieu … et en détestant la superstition</w:t>
      </w:r>
      <w:r w:rsidR="00DC7E8C" w:rsidRPr="00FA4F65">
        <w:rPr>
          <w:rStyle w:val="apple-style-span"/>
          <w:rFonts w:cs="Times New Roman"/>
          <w:i/>
          <w:iCs/>
          <w:color w:val="000000"/>
        </w:rPr>
        <w:t>’</w:t>
      </w:r>
      <w:r w:rsidR="00513896" w:rsidRPr="00FA4F65">
        <w:rPr>
          <w:rStyle w:val="FootnoteReference"/>
          <w:rFonts w:cs="Times New Roman"/>
          <w:iCs/>
          <w:color w:val="000000"/>
        </w:rPr>
        <w:footnoteReference w:id="82"/>
      </w:r>
      <w:r w:rsidR="00DC7E8C" w:rsidRPr="00FA4F65">
        <w:rPr>
          <w:rStyle w:val="apple-style-span"/>
          <w:rFonts w:cs="Times New Roman"/>
          <w:i/>
          <w:iCs/>
          <w:color w:val="000000"/>
        </w:rPr>
        <w:t xml:space="preserve"> </w:t>
      </w:r>
      <w:r w:rsidR="00DC7E8C" w:rsidRPr="00FA4F65">
        <w:rPr>
          <w:rFonts w:cs="Times New Roman"/>
        </w:rPr>
        <w:t>and D</w:t>
      </w:r>
      <w:r w:rsidR="00FA3B5D" w:rsidRPr="00FA4F65">
        <w:rPr>
          <w:rFonts w:cs="Times New Roman"/>
        </w:rPr>
        <w:t>orval begs</w:t>
      </w:r>
      <w:r w:rsidR="00513896" w:rsidRPr="00FA4F65">
        <w:rPr>
          <w:rFonts w:cs="Times New Roman"/>
        </w:rPr>
        <w:t xml:space="preserve"> forgiveness for blaspheming in the final scenes of </w:t>
      </w:r>
      <w:r w:rsidR="00513896" w:rsidRPr="00FA4F65">
        <w:rPr>
          <w:rFonts w:cs="Times New Roman"/>
          <w:i/>
        </w:rPr>
        <w:t>Les Victimes Cloitrées.</w:t>
      </w:r>
      <w:r w:rsidR="00513896" w:rsidRPr="00FA4F65">
        <w:rPr>
          <w:rStyle w:val="FootnoteReference"/>
          <w:rFonts w:cs="Times New Roman"/>
          <w:lang w:val="fr-FR"/>
        </w:rPr>
        <w:footnoteReference w:id="83"/>
      </w:r>
      <w:r w:rsidR="00513896" w:rsidRPr="00FA4F65">
        <w:rPr>
          <w:rFonts w:cs="Times New Roman"/>
          <w:i/>
        </w:rPr>
        <w:t xml:space="preserve"> </w:t>
      </w:r>
      <w:r w:rsidR="00513896" w:rsidRPr="00FA4F65">
        <w:rPr>
          <w:rStyle w:val="apple-style-span"/>
          <w:rFonts w:cs="Times New Roman"/>
          <w:iCs/>
          <w:color w:val="000000"/>
        </w:rPr>
        <w:t xml:space="preserve">Yet this </w:t>
      </w:r>
      <w:r w:rsidR="00FA3B5D" w:rsidRPr="00FA4F65">
        <w:rPr>
          <w:rStyle w:val="apple-style-span"/>
          <w:rFonts w:cs="Times New Roman"/>
          <w:iCs/>
          <w:color w:val="000000"/>
        </w:rPr>
        <w:t xml:space="preserve">too </w:t>
      </w:r>
      <w:r w:rsidR="00513896" w:rsidRPr="00FA4F65">
        <w:rPr>
          <w:rStyle w:val="apple-style-span"/>
          <w:rFonts w:cs="Times New Roman"/>
          <w:iCs/>
          <w:color w:val="000000"/>
        </w:rPr>
        <w:t>prevents</w:t>
      </w:r>
      <w:r w:rsidR="00FA3B5D" w:rsidRPr="00FA4F65">
        <w:rPr>
          <w:rStyle w:val="apple-style-span"/>
          <w:rFonts w:cs="Times New Roman"/>
          <w:iCs/>
          <w:color w:val="000000"/>
        </w:rPr>
        <w:t xml:space="preserve"> the plays from adopting truly r</w:t>
      </w:r>
      <w:r w:rsidR="00513896" w:rsidRPr="00FA4F65">
        <w:rPr>
          <w:rStyle w:val="apple-style-span"/>
          <w:rFonts w:cs="Times New Roman"/>
          <w:iCs/>
          <w:color w:val="000000"/>
        </w:rPr>
        <w:t>evolutionary</w:t>
      </w:r>
      <w:r w:rsidR="00DC7E8C" w:rsidRPr="00FA4F65">
        <w:rPr>
          <w:rStyle w:val="apple-style-span"/>
          <w:rFonts w:cs="Times New Roman"/>
          <w:iCs/>
          <w:color w:val="000000"/>
        </w:rPr>
        <w:t xml:space="preserve"> (</w:t>
      </w:r>
      <w:r w:rsidR="00693A3C" w:rsidRPr="00FA4F65">
        <w:rPr>
          <w:rStyle w:val="apple-style-span"/>
          <w:rFonts w:cs="Times New Roman"/>
          <w:iCs/>
          <w:color w:val="000000"/>
        </w:rPr>
        <w:t>as in secular</w:t>
      </w:r>
      <w:r w:rsidR="00DC7E8C" w:rsidRPr="00FA4F65">
        <w:rPr>
          <w:rStyle w:val="apple-style-span"/>
          <w:rFonts w:cs="Times New Roman"/>
          <w:iCs/>
          <w:color w:val="000000"/>
        </w:rPr>
        <w:t>)</w:t>
      </w:r>
      <w:r w:rsidR="00513896" w:rsidRPr="00FA4F65">
        <w:rPr>
          <w:rStyle w:val="apple-style-span"/>
          <w:rFonts w:cs="Times New Roman"/>
          <w:iCs/>
          <w:color w:val="000000"/>
        </w:rPr>
        <w:t xml:space="preserve"> rhetoric. </w:t>
      </w:r>
      <w:r w:rsidR="00513896" w:rsidRPr="00FA4F65">
        <w:rPr>
          <w:rFonts w:cs="Times New Roman"/>
        </w:rPr>
        <w:t xml:space="preserve">Hunt explains that ‘although it was enunciated with religious fervor, revolutionary language was nonetheless resolutely secular in content…. revolutionaries eliminated most positive references to Christianity from their </w:t>
      </w:r>
      <w:r w:rsidR="00693A3C" w:rsidRPr="00FA4F65">
        <w:rPr>
          <w:rFonts w:cs="Times New Roman"/>
        </w:rPr>
        <w:t>vocabulary</w:t>
      </w:r>
      <w:r w:rsidR="007861A8" w:rsidRPr="00FA4F65">
        <w:rPr>
          <w:rFonts w:cs="Times New Roman"/>
        </w:rPr>
        <w:t>’</w:t>
      </w:r>
      <w:r w:rsidR="00513896" w:rsidRPr="00FA4F65">
        <w:rPr>
          <w:rFonts w:cs="Times New Roman"/>
        </w:rPr>
        <w:t>.</w:t>
      </w:r>
      <w:r w:rsidR="00513896" w:rsidRPr="00FA4F65">
        <w:rPr>
          <w:rStyle w:val="FootnoteReference"/>
          <w:rFonts w:cs="Times New Roman"/>
        </w:rPr>
        <w:footnoteReference w:id="84"/>
      </w:r>
      <w:r w:rsidR="00DC7E8C" w:rsidRPr="00FA4F65">
        <w:rPr>
          <w:rFonts w:cs="Times New Roman"/>
        </w:rPr>
        <w:t xml:space="preserve"> Therefore i</w:t>
      </w:r>
      <w:r w:rsidR="00513896" w:rsidRPr="00FA4F65">
        <w:rPr>
          <w:rFonts w:cs="Times New Roman"/>
        </w:rPr>
        <w:t>n terms</w:t>
      </w:r>
      <w:r w:rsidR="00DC7E8C" w:rsidRPr="00FA4F65">
        <w:rPr>
          <w:rFonts w:cs="Times New Roman"/>
        </w:rPr>
        <w:t xml:space="preserve"> of anticlerical sentiment,</w:t>
      </w:r>
      <w:r w:rsidR="00513896" w:rsidRPr="00FA4F65">
        <w:rPr>
          <w:rFonts w:cs="Times New Roman"/>
        </w:rPr>
        <w:t xml:space="preserve"> the convent play</w:t>
      </w:r>
      <w:r w:rsidR="00DC7E8C" w:rsidRPr="00FA4F65">
        <w:rPr>
          <w:rFonts w:cs="Times New Roman"/>
        </w:rPr>
        <w:t xml:space="preserve">s were not </w:t>
      </w:r>
      <w:r w:rsidR="00447F14">
        <w:rPr>
          <w:rFonts w:cs="Times New Roman"/>
        </w:rPr>
        <w:t>radical or critical enough to be revolutionary</w:t>
      </w:r>
      <w:r w:rsidR="00513896" w:rsidRPr="00FA4F65">
        <w:rPr>
          <w:rFonts w:cs="Times New Roman"/>
        </w:rPr>
        <w:t xml:space="preserve"> but the politics of the Revolution made them appear more so.</w:t>
      </w:r>
    </w:p>
    <w:p w:rsidR="008478E3" w:rsidRPr="00FA4F65" w:rsidRDefault="001561B4" w:rsidP="00C10F99">
      <w:pPr>
        <w:pStyle w:val="Heading3"/>
        <w:spacing w:line="480" w:lineRule="auto"/>
        <w:jc w:val="center"/>
        <w:rPr>
          <w:rFonts w:cs="Times New Roman"/>
        </w:rPr>
      </w:pPr>
      <w:r w:rsidRPr="00FA4F65">
        <w:rPr>
          <w:rFonts w:cs="Times New Roman"/>
        </w:rPr>
        <w:t>Conclusion</w:t>
      </w:r>
    </w:p>
    <w:p w:rsidR="00177BD6" w:rsidRPr="00FA4F65" w:rsidRDefault="00177BD6" w:rsidP="00FB6180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>The popularity of convent theatre</w:t>
      </w:r>
      <w:r w:rsidR="00DC7E8C" w:rsidRPr="00FA4F65">
        <w:rPr>
          <w:rFonts w:cs="Times New Roman"/>
        </w:rPr>
        <w:t xml:space="preserve"> diminished under the Directory</w:t>
      </w:r>
      <w:r w:rsidRPr="00FA4F65">
        <w:rPr>
          <w:rFonts w:cs="Times New Roman"/>
        </w:rPr>
        <w:t xml:space="preserve"> which Murphree suggests was due to the</w:t>
      </w:r>
      <w:r w:rsidR="00693A3C" w:rsidRPr="00FA4F65">
        <w:rPr>
          <w:rFonts w:cs="Times New Roman"/>
        </w:rPr>
        <w:t>ir</w:t>
      </w:r>
      <w:r w:rsidRPr="00FA4F65">
        <w:rPr>
          <w:rFonts w:cs="Times New Roman"/>
        </w:rPr>
        <w:t xml:space="preserve"> ‘structural limitations… in terms of plot</w:t>
      </w:r>
      <w:r w:rsidR="00693A3C" w:rsidRPr="00FA4F65">
        <w:rPr>
          <w:rFonts w:cs="Times New Roman"/>
        </w:rPr>
        <w:t>, characteriza</w:t>
      </w:r>
      <w:r w:rsidR="0053630D" w:rsidRPr="00FA4F65">
        <w:rPr>
          <w:rFonts w:cs="Times New Roman"/>
        </w:rPr>
        <w:t>tion and rhetoric’. T</w:t>
      </w:r>
      <w:r w:rsidR="00693A3C" w:rsidRPr="00FA4F65">
        <w:rPr>
          <w:rFonts w:cs="Times New Roman"/>
        </w:rPr>
        <w:t>he nun</w:t>
      </w:r>
      <w:r w:rsidR="0053630D" w:rsidRPr="00FA4F65">
        <w:rPr>
          <w:rFonts w:cs="Times New Roman"/>
        </w:rPr>
        <w:t>s (eventually losing the male audience’s interest) were</w:t>
      </w:r>
      <w:r w:rsidR="00693A3C" w:rsidRPr="00FA4F65">
        <w:rPr>
          <w:rFonts w:cs="Times New Roman"/>
        </w:rPr>
        <w:t xml:space="preserve"> replaced</w:t>
      </w:r>
      <w:r w:rsidR="00FB6180" w:rsidRPr="00FA4F65">
        <w:rPr>
          <w:rFonts w:cs="Times New Roman"/>
        </w:rPr>
        <w:t xml:space="preserve"> somewhat ironically</w:t>
      </w:r>
      <w:r w:rsidR="00693A3C" w:rsidRPr="00FA4F65">
        <w:rPr>
          <w:rFonts w:cs="Times New Roman"/>
        </w:rPr>
        <w:t xml:space="preserve"> by the melodrama</w:t>
      </w:r>
      <w:r w:rsidR="00DC7E8C" w:rsidRPr="00FA4F65">
        <w:rPr>
          <w:rFonts w:cs="Times New Roman"/>
        </w:rPr>
        <w:t>tic</w:t>
      </w:r>
      <w:r w:rsidR="00693A3C" w:rsidRPr="00FA4F65">
        <w:rPr>
          <w:rFonts w:cs="Times New Roman"/>
        </w:rPr>
        <w:t xml:space="preserve"> heroine ‘as the passive recipient o</w:t>
      </w:r>
      <w:r w:rsidR="00FB6180" w:rsidRPr="00FA4F65">
        <w:rPr>
          <w:rFonts w:cs="Times New Roman"/>
        </w:rPr>
        <w:t>f male action,’ given the fact that convent theatre introduced melodrama</w:t>
      </w:r>
      <w:r w:rsidR="00693A3C" w:rsidRPr="00FA4F65">
        <w:rPr>
          <w:rFonts w:cs="Times New Roman"/>
        </w:rPr>
        <w:t>.</w:t>
      </w:r>
      <w:r w:rsidR="00693A3C" w:rsidRPr="00FA4F65">
        <w:rPr>
          <w:rStyle w:val="FootnoteReference"/>
          <w:rFonts w:cs="Times New Roman"/>
        </w:rPr>
        <w:footnoteReference w:id="85"/>
      </w:r>
      <w:r w:rsidR="00693A3C" w:rsidRPr="00FA4F65">
        <w:rPr>
          <w:rFonts w:cs="Times New Roman"/>
        </w:rPr>
        <w:t xml:space="preserve"> </w:t>
      </w:r>
      <w:r w:rsidR="00FB6180" w:rsidRPr="00FA4F65">
        <w:rPr>
          <w:rFonts w:cs="Times New Roman"/>
        </w:rPr>
        <w:t>Furthermore, t</w:t>
      </w:r>
      <w:r w:rsidR="00693A3C" w:rsidRPr="00FA4F65">
        <w:rPr>
          <w:rFonts w:cs="Times New Roman"/>
        </w:rPr>
        <w:t>he success of anticlerical legislation (resulting in an almost complete elimination of convents</w:t>
      </w:r>
      <w:r w:rsidR="00FB6180" w:rsidRPr="00FA4F65">
        <w:rPr>
          <w:rFonts w:cs="Times New Roman"/>
        </w:rPr>
        <w:t xml:space="preserve"> until their re-emergence later in the nineteenth century</w:t>
      </w:r>
      <w:r w:rsidR="00693A3C" w:rsidRPr="00FA4F65">
        <w:rPr>
          <w:rFonts w:cs="Times New Roman"/>
        </w:rPr>
        <w:t xml:space="preserve">) </w:t>
      </w:r>
      <w:r w:rsidR="00FB6180" w:rsidRPr="00FA4F65">
        <w:rPr>
          <w:rFonts w:cs="Times New Roman"/>
        </w:rPr>
        <w:t>certainly</w:t>
      </w:r>
      <w:r w:rsidR="00693A3C" w:rsidRPr="00FA4F65">
        <w:rPr>
          <w:rFonts w:cs="Times New Roman"/>
        </w:rPr>
        <w:t xml:space="preserve"> contributed to the genre’s demise.</w:t>
      </w:r>
      <w:r w:rsidR="003668C0" w:rsidRPr="00FA4F65">
        <w:rPr>
          <w:rFonts w:cs="Times New Roman"/>
        </w:rPr>
        <w:t xml:space="preserve"> </w:t>
      </w:r>
      <w:r w:rsidR="00FB6180" w:rsidRPr="00FA4F65">
        <w:rPr>
          <w:rFonts w:cs="Times New Roman"/>
        </w:rPr>
        <w:t xml:space="preserve">Furthermore, </w:t>
      </w:r>
      <w:r w:rsidR="00C728F1" w:rsidRPr="00FA4F65">
        <w:rPr>
          <w:rFonts w:cs="Times New Roman"/>
        </w:rPr>
        <w:t>Choudhury suggests t</w:t>
      </w:r>
      <w:r w:rsidR="00FC1FA2" w:rsidRPr="00FA4F65">
        <w:rPr>
          <w:rFonts w:cs="Times New Roman"/>
        </w:rPr>
        <w:t>he convent as a symbol changed: where it ‘had once been a microcosm of the Old Regime</w:t>
      </w:r>
      <w:r w:rsidR="00C728F1" w:rsidRPr="00FA4F65">
        <w:rPr>
          <w:rFonts w:cs="Times New Roman"/>
        </w:rPr>
        <w:t xml:space="preserve"> … </w:t>
      </w:r>
      <w:r w:rsidR="00FC1FA2" w:rsidRPr="00FA4F65">
        <w:rPr>
          <w:rFonts w:cs="Times New Roman"/>
        </w:rPr>
        <w:t xml:space="preserve">it had become – for proponents of republicanism – a foreign realm within France, an anachronistic but nonetheless dangerous remnant of the gendered despotism that the Revolution </w:t>
      </w:r>
      <w:r w:rsidR="00C728F1" w:rsidRPr="00FA4F65">
        <w:rPr>
          <w:rFonts w:cs="Times New Roman"/>
        </w:rPr>
        <w:t>was supposed to have vanquished</w:t>
      </w:r>
      <w:r w:rsidR="00FC1FA2" w:rsidRPr="00FA4F65">
        <w:rPr>
          <w:rFonts w:cs="Times New Roman"/>
        </w:rPr>
        <w:t>’</w:t>
      </w:r>
      <w:r w:rsidR="00FC1FA2" w:rsidRPr="00FA4F65">
        <w:rPr>
          <w:rStyle w:val="FootnoteReference"/>
          <w:rFonts w:cs="Times New Roman"/>
        </w:rPr>
        <w:footnoteReference w:id="86"/>
      </w:r>
      <w:r w:rsidR="00C728F1" w:rsidRPr="00FA4F65">
        <w:rPr>
          <w:rFonts w:cs="Times New Roman"/>
        </w:rPr>
        <w:t xml:space="preserve"> and therefore a more sensitive subject to depict on stage. </w:t>
      </w:r>
      <w:r w:rsidR="006055B1" w:rsidRPr="00FA4F65">
        <w:rPr>
          <w:rFonts w:cs="Times New Roman"/>
        </w:rPr>
        <w:t xml:space="preserve">It reflects the tumultuous atmosphere of the Revolution, where ideas could be </w:t>
      </w:r>
      <w:r w:rsidR="00892444" w:rsidRPr="00FA4F65">
        <w:rPr>
          <w:rFonts w:cs="Times New Roman"/>
        </w:rPr>
        <w:t>enormously</w:t>
      </w:r>
      <w:r w:rsidR="006055B1" w:rsidRPr="00FA4F65">
        <w:rPr>
          <w:rFonts w:cs="Times New Roman"/>
        </w:rPr>
        <w:t xml:space="preserve"> popular and yet short-lived.</w:t>
      </w:r>
    </w:p>
    <w:p w:rsidR="00FB235C" w:rsidRPr="00FA4F65" w:rsidRDefault="006055B1" w:rsidP="00267BB3">
      <w:pPr>
        <w:spacing w:line="480" w:lineRule="auto"/>
        <w:ind w:firstLine="720"/>
        <w:jc w:val="both"/>
        <w:rPr>
          <w:rFonts w:cs="Times New Roman"/>
        </w:rPr>
      </w:pPr>
      <w:r w:rsidRPr="00FA4F65">
        <w:rPr>
          <w:rFonts w:cs="Times New Roman"/>
        </w:rPr>
        <w:t xml:space="preserve">However, despite reflecting the </w:t>
      </w:r>
      <w:r w:rsidR="00FA7E1B" w:rsidRPr="00FA4F65">
        <w:rPr>
          <w:rFonts w:cs="Times New Roman"/>
        </w:rPr>
        <w:t xml:space="preserve">trends and giving us an insight into the politicized culture of the French Revolution, </w:t>
      </w:r>
      <w:r w:rsidRPr="00FA4F65">
        <w:rPr>
          <w:rFonts w:cs="Times New Roman"/>
        </w:rPr>
        <w:t>f</w:t>
      </w:r>
      <w:r w:rsidR="0053630D" w:rsidRPr="00FA4F65">
        <w:rPr>
          <w:rFonts w:cs="Times New Roman"/>
        </w:rPr>
        <w:t>rom this</w:t>
      </w:r>
      <w:r w:rsidR="00C728F1" w:rsidRPr="00FA4F65">
        <w:rPr>
          <w:rFonts w:cs="Times New Roman"/>
        </w:rPr>
        <w:t xml:space="preserve"> analysis it would appear that</w:t>
      </w:r>
      <w:r w:rsidR="009F596E" w:rsidRPr="00FA4F65">
        <w:rPr>
          <w:rFonts w:cs="Times New Roman"/>
        </w:rPr>
        <w:t xml:space="preserve"> convent plays</w:t>
      </w:r>
      <w:r w:rsidR="00271838" w:rsidRPr="00FA4F65">
        <w:rPr>
          <w:rFonts w:cs="Times New Roman"/>
        </w:rPr>
        <w:t xml:space="preserve"> </w:t>
      </w:r>
      <w:r w:rsidR="009F596E" w:rsidRPr="00FA4F65">
        <w:rPr>
          <w:rFonts w:cs="Times New Roman"/>
        </w:rPr>
        <w:t>wer</w:t>
      </w:r>
      <w:r w:rsidR="008E6F80" w:rsidRPr="00FA4F65">
        <w:rPr>
          <w:rFonts w:cs="Times New Roman"/>
        </w:rPr>
        <w:t xml:space="preserve">e not hugely </w:t>
      </w:r>
      <w:r w:rsidR="008E6F80" w:rsidRPr="00447F14">
        <w:rPr>
          <w:rFonts w:cs="Times New Roman"/>
        </w:rPr>
        <w:t>revolutionary,</w:t>
      </w:r>
      <w:r w:rsidR="008E6F80" w:rsidRPr="00FA4F65">
        <w:rPr>
          <w:rFonts w:cs="Times New Roman"/>
        </w:rPr>
        <w:t xml:space="preserve"> both in terms of content and rhetoric. A</w:t>
      </w:r>
      <w:r w:rsidR="005D76A2" w:rsidRPr="00FA4F65">
        <w:rPr>
          <w:rFonts w:cs="Times New Roman"/>
        </w:rPr>
        <w:t>nticlericalism was limited</w:t>
      </w:r>
      <w:r w:rsidR="009F596E" w:rsidRPr="00FA4F65">
        <w:rPr>
          <w:rFonts w:cs="Times New Roman"/>
        </w:rPr>
        <w:t xml:space="preserve">, they did not call for </w:t>
      </w:r>
      <w:r w:rsidR="00C728F1" w:rsidRPr="00FA4F65">
        <w:rPr>
          <w:rFonts w:cs="Times New Roman"/>
        </w:rPr>
        <w:t>gender equality</w:t>
      </w:r>
      <w:r w:rsidR="009F596E" w:rsidRPr="00FA4F65">
        <w:rPr>
          <w:rFonts w:cs="Times New Roman"/>
        </w:rPr>
        <w:t xml:space="preserve"> and they could not reflect revolutionary </w:t>
      </w:r>
      <w:r w:rsidR="00271838" w:rsidRPr="00FA4F65">
        <w:rPr>
          <w:rFonts w:cs="Times New Roman"/>
        </w:rPr>
        <w:t>rhetoric</w:t>
      </w:r>
      <w:r w:rsidR="009F596E" w:rsidRPr="00FA4F65">
        <w:rPr>
          <w:rFonts w:cs="Times New Roman"/>
        </w:rPr>
        <w:t xml:space="preserve"> to its entirety due to their religious content. </w:t>
      </w:r>
      <w:r w:rsidR="00512A8B" w:rsidRPr="00FA4F65">
        <w:rPr>
          <w:rFonts w:cs="Times New Roman"/>
        </w:rPr>
        <w:t>Although t</w:t>
      </w:r>
      <w:r w:rsidR="00C728F1" w:rsidRPr="00FA4F65">
        <w:rPr>
          <w:rFonts w:cs="Times New Roman"/>
        </w:rPr>
        <w:t>heir popularity</w:t>
      </w:r>
      <w:r w:rsidR="00512A8B" w:rsidRPr="00FA4F65">
        <w:rPr>
          <w:rFonts w:cs="Times New Roman"/>
        </w:rPr>
        <w:t xml:space="preserve"> remains significant,</w:t>
      </w:r>
      <w:r w:rsidR="00C728F1" w:rsidRPr="00FA4F65">
        <w:rPr>
          <w:rFonts w:cs="Times New Roman"/>
        </w:rPr>
        <w:t xml:space="preserve"> the plays</w:t>
      </w:r>
      <w:r w:rsidR="009F596E" w:rsidRPr="00FA4F65">
        <w:rPr>
          <w:rFonts w:cs="Times New Roman"/>
        </w:rPr>
        <w:t xml:space="preserve"> </w:t>
      </w:r>
      <w:r w:rsidR="00C728F1" w:rsidRPr="00FA4F65">
        <w:rPr>
          <w:rFonts w:cs="Times New Roman"/>
        </w:rPr>
        <w:t>suggest</w:t>
      </w:r>
      <w:r w:rsidR="00EC4DC5" w:rsidRPr="00FA4F65">
        <w:rPr>
          <w:rFonts w:cs="Times New Roman"/>
        </w:rPr>
        <w:t xml:space="preserve"> a more moderate audience than </w:t>
      </w:r>
      <w:r w:rsidR="00512A8B" w:rsidRPr="00FA4F65">
        <w:rPr>
          <w:rFonts w:cs="Times New Roman"/>
        </w:rPr>
        <w:t>expected and t</w:t>
      </w:r>
      <w:r w:rsidR="00C728F1" w:rsidRPr="00FA4F65">
        <w:rPr>
          <w:rFonts w:cs="Times New Roman"/>
        </w:rPr>
        <w:t xml:space="preserve">he fact </w:t>
      </w:r>
      <w:r w:rsidR="00512A8B" w:rsidRPr="00FA4F65">
        <w:rPr>
          <w:rFonts w:cs="Times New Roman"/>
        </w:rPr>
        <w:t>that the ge</w:t>
      </w:r>
      <w:r w:rsidR="00FA7E1B" w:rsidRPr="00FA4F65">
        <w:rPr>
          <w:rFonts w:cs="Times New Roman"/>
        </w:rPr>
        <w:t xml:space="preserve">nre lost momentum suggests a more fickle </w:t>
      </w:r>
      <w:r w:rsidR="005D76A2" w:rsidRPr="00FA4F65">
        <w:rPr>
          <w:rFonts w:cs="Times New Roman"/>
        </w:rPr>
        <w:t>relationship</w:t>
      </w:r>
      <w:r w:rsidR="00C728F1" w:rsidRPr="00FA4F65">
        <w:rPr>
          <w:rFonts w:cs="Times New Roman"/>
        </w:rPr>
        <w:t xml:space="preserve"> between the theatre and</w:t>
      </w:r>
      <w:r w:rsidR="005D76A2" w:rsidRPr="00FA4F65">
        <w:rPr>
          <w:rFonts w:cs="Times New Roman"/>
        </w:rPr>
        <w:t xml:space="preserve"> politics.</w:t>
      </w:r>
      <w:r w:rsidR="009F596E" w:rsidRPr="00FA4F65">
        <w:rPr>
          <w:rFonts w:cs="Times New Roman"/>
        </w:rPr>
        <w:t xml:space="preserve"> </w:t>
      </w:r>
      <w:r w:rsidR="00271838" w:rsidRPr="00FA4F65">
        <w:rPr>
          <w:rFonts w:cs="Times New Roman"/>
        </w:rPr>
        <w:t>Most importantly, t</w:t>
      </w:r>
      <w:r w:rsidR="009F596E" w:rsidRPr="00FA4F65">
        <w:rPr>
          <w:rFonts w:cs="Times New Roman"/>
        </w:rPr>
        <w:t xml:space="preserve">he </w:t>
      </w:r>
      <w:r w:rsidR="008E6F80" w:rsidRPr="00FA4F65">
        <w:rPr>
          <w:rFonts w:cs="Times New Roman"/>
        </w:rPr>
        <w:t xml:space="preserve">major </w:t>
      </w:r>
      <w:r w:rsidR="009F596E" w:rsidRPr="00FA4F65">
        <w:rPr>
          <w:rFonts w:cs="Times New Roman"/>
        </w:rPr>
        <w:t xml:space="preserve">emphasis on </w:t>
      </w:r>
      <w:r w:rsidR="00545716" w:rsidRPr="00FA4F65">
        <w:rPr>
          <w:rFonts w:cs="Times New Roman"/>
          <w:i/>
        </w:rPr>
        <w:t>liberté</w:t>
      </w:r>
      <w:r w:rsidR="009F596E" w:rsidRPr="00FA4F65">
        <w:rPr>
          <w:rFonts w:cs="Times New Roman"/>
        </w:rPr>
        <w:t xml:space="preserve"> and </w:t>
      </w:r>
      <w:r w:rsidR="009F596E" w:rsidRPr="00FA4F65">
        <w:rPr>
          <w:rFonts w:cs="Times New Roman"/>
          <w:i/>
        </w:rPr>
        <w:t>vertu</w:t>
      </w:r>
      <w:r w:rsidR="009F596E" w:rsidRPr="00FA4F65">
        <w:rPr>
          <w:rFonts w:cs="Times New Roman"/>
        </w:rPr>
        <w:t xml:space="preserve"> </w:t>
      </w:r>
      <w:r w:rsidR="00080AFB" w:rsidRPr="00FA4F65">
        <w:rPr>
          <w:rFonts w:cs="Times New Roman"/>
        </w:rPr>
        <w:t xml:space="preserve">cannot be ignored: this rhetoric is </w:t>
      </w:r>
      <w:r w:rsidR="00512A8B" w:rsidRPr="00FA4F65">
        <w:rPr>
          <w:rFonts w:cs="Times New Roman"/>
        </w:rPr>
        <w:t>a subliminal form of propaganda</w:t>
      </w:r>
      <w:r w:rsidR="00080AFB" w:rsidRPr="00FA4F65">
        <w:rPr>
          <w:rFonts w:cs="Times New Roman"/>
        </w:rPr>
        <w:t xml:space="preserve"> which would </w:t>
      </w:r>
      <w:r w:rsidR="00EC4DC5" w:rsidRPr="00FA4F65">
        <w:rPr>
          <w:rFonts w:cs="Times New Roman"/>
        </w:rPr>
        <w:t xml:space="preserve">both </w:t>
      </w:r>
      <w:r w:rsidR="00080AFB" w:rsidRPr="00FA4F65">
        <w:rPr>
          <w:rFonts w:cs="Times New Roman"/>
        </w:rPr>
        <w:t xml:space="preserve">penetrate </w:t>
      </w:r>
      <w:r w:rsidR="00EC4DC5" w:rsidRPr="00FA4F65">
        <w:rPr>
          <w:rFonts w:cs="Times New Roman"/>
        </w:rPr>
        <w:t>and be encouraged by</w:t>
      </w:r>
      <w:r w:rsidR="00C728F1" w:rsidRPr="00FA4F65">
        <w:rPr>
          <w:rFonts w:cs="Times New Roman"/>
        </w:rPr>
        <w:t xml:space="preserve"> the audience. The plays</w:t>
      </w:r>
      <w:r w:rsidR="00271838" w:rsidRPr="00FA4F65">
        <w:rPr>
          <w:rFonts w:cs="Times New Roman"/>
        </w:rPr>
        <w:t xml:space="preserve"> are more subtle than</w:t>
      </w:r>
      <w:r w:rsidR="00447F14">
        <w:rPr>
          <w:rFonts w:cs="Times New Roman"/>
        </w:rPr>
        <w:t xml:space="preserve">, for example, </w:t>
      </w:r>
      <w:r w:rsidR="00545716" w:rsidRPr="00FA4F65">
        <w:rPr>
          <w:rFonts w:cs="Times New Roman"/>
        </w:rPr>
        <w:t>Maréchal’s</w:t>
      </w:r>
      <w:r w:rsidR="00080AFB" w:rsidRPr="00FA4F65">
        <w:rPr>
          <w:rFonts w:cs="Times New Roman"/>
        </w:rPr>
        <w:t xml:space="preserve"> </w:t>
      </w:r>
      <w:r w:rsidR="00080AFB" w:rsidRPr="00FA4F65">
        <w:rPr>
          <w:rFonts w:cs="Times New Roman"/>
          <w:i/>
        </w:rPr>
        <w:t>Le Jugement des Rois</w:t>
      </w:r>
      <w:r w:rsidR="00080AFB" w:rsidRPr="00FA4F65">
        <w:rPr>
          <w:rFonts w:cs="Times New Roman"/>
        </w:rPr>
        <w:t xml:space="preserve"> (1793) and their </w:t>
      </w:r>
      <w:r w:rsidR="003668C0" w:rsidRPr="00FA4F65">
        <w:rPr>
          <w:rFonts w:cs="Times New Roman"/>
        </w:rPr>
        <w:t>ma</w:t>
      </w:r>
      <w:r w:rsidR="00C728F1" w:rsidRPr="00FA4F65">
        <w:rPr>
          <w:rFonts w:cs="Times New Roman"/>
        </w:rPr>
        <w:t>le</w:t>
      </w:r>
      <w:r w:rsidR="003668C0" w:rsidRPr="00FA4F65">
        <w:rPr>
          <w:rFonts w:cs="Times New Roman"/>
        </w:rPr>
        <w:t xml:space="preserve">-catered </w:t>
      </w:r>
      <w:r w:rsidR="00080AFB" w:rsidRPr="00FA4F65">
        <w:rPr>
          <w:rFonts w:cs="Times New Roman"/>
        </w:rPr>
        <w:t>content more popul</w:t>
      </w:r>
      <w:r w:rsidR="003668C0" w:rsidRPr="00FA4F65">
        <w:rPr>
          <w:rFonts w:cs="Times New Roman"/>
        </w:rPr>
        <w:t>ar</w:t>
      </w:r>
      <w:r w:rsidR="009D0B2C" w:rsidRPr="00FA4F65">
        <w:rPr>
          <w:rFonts w:cs="Times New Roman"/>
        </w:rPr>
        <w:t xml:space="preserve">. </w:t>
      </w:r>
      <w:r w:rsidR="00080AFB" w:rsidRPr="00FA4F65">
        <w:rPr>
          <w:rFonts w:cs="Times New Roman"/>
        </w:rPr>
        <w:t xml:space="preserve">Hufton and Choudhury both suggest that the Revolution and its </w:t>
      </w:r>
      <w:r w:rsidR="00C728F1" w:rsidRPr="00FA4F65">
        <w:rPr>
          <w:rFonts w:cs="Times New Roman"/>
        </w:rPr>
        <w:t xml:space="preserve">literature </w:t>
      </w:r>
      <w:r w:rsidR="00F82177" w:rsidRPr="00FA4F65">
        <w:rPr>
          <w:rFonts w:cs="Times New Roman"/>
        </w:rPr>
        <w:t>contributed to the feminization of Catholicism, (the C</w:t>
      </w:r>
      <w:r w:rsidR="00512A8B" w:rsidRPr="00FA4F65">
        <w:rPr>
          <w:rFonts w:cs="Times New Roman"/>
        </w:rPr>
        <w:t>ult of the Virgin Mary) highlight</w:t>
      </w:r>
      <w:r w:rsidR="00F82177" w:rsidRPr="00FA4F65">
        <w:rPr>
          <w:rFonts w:cs="Times New Roman"/>
        </w:rPr>
        <w:t>ing another dimension to convent theatre’s importance</w:t>
      </w:r>
      <w:r w:rsidR="00C728F1" w:rsidRPr="00FA4F65">
        <w:rPr>
          <w:rFonts w:cs="Times New Roman"/>
        </w:rPr>
        <w:t xml:space="preserve"> as a historical source</w:t>
      </w:r>
      <w:r w:rsidR="009D0B2C" w:rsidRPr="00FA4F65">
        <w:rPr>
          <w:rFonts w:cs="Times New Roman"/>
        </w:rPr>
        <w:t>.</w:t>
      </w:r>
      <w:r w:rsidR="00F82177" w:rsidRPr="00FA4F65">
        <w:rPr>
          <w:rStyle w:val="FootnoteReference"/>
          <w:rFonts w:cs="Times New Roman"/>
        </w:rPr>
        <w:footnoteReference w:id="87"/>
      </w:r>
      <w:r w:rsidR="005D76A2" w:rsidRPr="00FA4F65">
        <w:rPr>
          <w:rFonts w:cs="Times New Roman"/>
        </w:rPr>
        <w:t xml:space="preserve"> We can ther</w:t>
      </w:r>
      <w:r w:rsidR="003668C0" w:rsidRPr="00FA4F65">
        <w:rPr>
          <w:rFonts w:cs="Times New Roman"/>
        </w:rPr>
        <w:t>efore</w:t>
      </w:r>
      <w:r w:rsidR="00C728F1" w:rsidRPr="00FA4F65">
        <w:rPr>
          <w:rFonts w:cs="Times New Roman"/>
        </w:rPr>
        <w:t xml:space="preserve"> conclude that convent theatre</w:t>
      </w:r>
      <w:r w:rsidR="00D95EFE" w:rsidRPr="00FA4F65">
        <w:rPr>
          <w:rFonts w:cs="Times New Roman"/>
        </w:rPr>
        <w:t>, despite its limitations</w:t>
      </w:r>
      <w:r w:rsidR="00447F14">
        <w:rPr>
          <w:rFonts w:cs="Times New Roman"/>
        </w:rPr>
        <w:t xml:space="preserve"> as revolutionary propaganda</w:t>
      </w:r>
      <w:r w:rsidR="00D95EFE" w:rsidRPr="00FA4F65">
        <w:rPr>
          <w:rFonts w:cs="Times New Roman"/>
        </w:rPr>
        <w:t>,</w:t>
      </w:r>
      <w:r w:rsidR="003668C0" w:rsidRPr="00FA4F65">
        <w:rPr>
          <w:rFonts w:cs="Times New Roman"/>
        </w:rPr>
        <w:t xml:space="preserve"> </w:t>
      </w:r>
      <w:r w:rsidR="005D76A2" w:rsidRPr="00FA4F65">
        <w:rPr>
          <w:rFonts w:cs="Times New Roman"/>
        </w:rPr>
        <w:t>provides a unique ins</w:t>
      </w:r>
      <w:r w:rsidR="00C728F1" w:rsidRPr="00FA4F65">
        <w:rPr>
          <w:rFonts w:cs="Times New Roman"/>
        </w:rPr>
        <w:t>ight into the French Revolution</w:t>
      </w:r>
      <w:r w:rsidR="005D76A2" w:rsidRPr="00FA4F65">
        <w:rPr>
          <w:rFonts w:cs="Times New Roman"/>
        </w:rPr>
        <w:t xml:space="preserve"> and </w:t>
      </w:r>
      <w:r w:rsidR="00447F14">
        <w:rPr>
          <w:rFonts w:cs="Times New Roman"/>
        </w:rPr>
        <w:t xml:space="preserve">its </w:t>
      </w:r>
      <w:r w:rsidR="00D95EFE" w:rsidRPr="00FA4F65">
        <w:rPr>
          <w:rFonts w:cs="Times New Roman"/>
        </w:rPr>
        <w:t>theatre’s audiences</w:t>
      </w:r>
      <w:r w:rsidR="005D76A2" w:rsidRPr="00FA4F65">
        <w:rPr>
          <w:rFonts w:cs="Times New Roman"/>
        </w:rPr>
        <w:t xml:space="preserve">. </w:t>
      </w:r>
    </w:p>
    <w:p w:rsidR="00A20D68" w:rsidRPr="00FA4F65" w:rsidRDefault="00A20D68" w:rsidP="00A20D68">
      <w:pPr>
        <w:spacing w:line="480" w:lineRule="auto"/>
        <w:jc w:val="both"/>
        <w:rPr>
          <w:rFonts w:cs="Times New Roman"/>
        </w:rPr>
      </w:pPr>
      <w:r w:rsidRPr="00FA4F65">
        <w:rPr>
          <w:rFonts w:cs="Times New Roman"/>
        </w:rPr>
        <w:br w:type="page"/>
      </w:r>
    </w:p>
    <w:p w:rsidR="00FB235C" w:rsidRPr="00F24B87" w:rsidRDefault="00FB235C" w:rsidP="00203199">
      <w:pPr>
        <w:pStyle w:val="Heading2"/>
        <w:rPr>
          <w:lang w:val="fr-FR"/>
        </w:rPr>
      </w:pPr>
      <w:r w:rsidRPr="00F24B87">
        <w:rPr>
          <w:lang w:val="fr-FR"/>
        </w:rPr>
        <w:t>Bibliography</w:t>
      </w:r>
    </w:p>
    <w:p w:rsidR="002D2031" w:rsidRPr="00F24B87" w:rsidRDefault="002D2031" w:rsidP="002D2031">
      <w:pPr>
        <w:rPr>
          <w:lang w:val="fr-FR"/>
        </w:rPr>
      </w:pPr>
    </w:p>
    <w:p w:rsidR="002D2031" w:rsidRPr="00F24B87" w:rsidRDefault="002D2031" w:rsidP="002D2031">
      <w:pPr>
        <w:pStyle w:val="Heading3"/>
        <w:rPr>
          <w:lang w:val="fr-FR"/>
        </w:rPr>
      </w:pPr>
      <w:r w:rsidRPr="00F24B87">
        <w:rPr>
          <w:lang w:val="fr-FR"/>
        </w:rPr>
        <w:t>Primary Texts</w:t>
      </w:r>
    </w:p>
    <w:p w:rsidR="00FB235C" w:rsidRPr="00F24B87" w:rsidRDefault="00FB235C" w:rsidP="00203199">
      <w:pPr>
        <w:pStyle w:val="NoSpacing"/>
        <w:rPr>
          <w:lang w:val="fr-FR"/>
        </w:rPr>
      </w:pPr>
    </w:p>
    <w:p w:rsidR="008D5204" w:rsidRPr="001702A2" w:rsidRDefault="008D5204" w:rsidP="008D5204">
      <w:pPr>
        <w:pStyle w:val="NoSpacing"/>
        <w:numPr>
          <w:ilvl w:val="0"/>
          <w:numId w:val="27"/>
        </w:numPr>
        <w:rPr>
          <w:lang w:val="fr-FR"/>
        </w:rPr>
      </w:pPr>
      <w:r w:rsidRPr="001702A2">
        <w:rPr>
          <w:lang w:val="fr-FR"/>
        </w:rPr>
        <w:t>Boutet</w:t>
      </w:r>
      <w:r>
        <w:rPr>
          <w:lang w:val="fr-FR"/>
        </w:rPr>
        <w:t>,</w:t>
      </w:r>
      <w:r w:rsidRPr="008D5204">
        <w:rPr>
          <w:lang w:val="fr-FR"/>
        </w:rPr>
        <w:t xml:space="preserve"> </w:t>
      </w:r>
      <w:r w:rsidRPr="001702A2">
        <w:rPr>
          <w:lang w:val="fr-FR"/>
        </w:rPr>
        <w:t xml:space="preserve">Jacques-Marie, dit Monvel, </w:t>
      </w:r>
      <w:r w:rsidRPr="001702A2">
        <w:rPr>
          <w:i/>
          <w:lang w:val="fr-FR"/>
        </w:rPr>
        <w:t xml:space="preserve">Les Victimes Cloitrées, </w:t>
      </w:r>
      <w:r w:rsidR="00FA4F65">
        <w:rPr>
          <w:i/>
          <w:lang w:val="fr-FR"/>
        </w:rPr>
        <w:br/>
      </w:r>
      <w:r w:rsidRPr="001702A2">
        <w:rPr>
          <w:lang w:val="fr-FR"/>
        </w:rPr>
        <w:t>premi</w:t>
      </w:r>
      <w:r w:rsidRPr="001702A2">
        <w:rPr>
          <w:rFonts w:cs="Times New Roman"/>
          <w:lang w:val="fr-FR"/>
        </w:rPr>
        <w:t>è</w:t>
      </w:r>
      <w:r w:rsidRPr="001702A2">
        <w:rPr>
          <w:lang w:val="fr-FR"/>
        </w:rPr>
        <w:t>re le 29 mars, 1791</w:t>
      </w:r>
      <w:r w:rsidR="00D06CF0">
        <w:rPr>
          <w:lang w:val="fr-FR"/>
        </w:rPr>
        <w:t>.</w:t>
      </w:r>
      <w:r w:rsidR="00D06CF0">
        <w:rPr>
          <w:lang w:val="fr-FR"/>
        </w:rPr>
        <w:br/>
      </w:r>
    </w:p>
    <w:p w:rsidR="00D06CF0" w:rsidRPr="00D06CF0" w:rsidRDefault="008D5204" w:rsidP="00D06CF0">
      <w:pPr>
        <w:pStyle w:val="NoSpacing"/>
        <w:numPr>
          <w:ilvl w:val="0"/>
          <w:numId w:val="27"/>
        </w:numPr>
        <w:rPr>
          <w:lang w:val="fr-FR"/>
        </w:rPr>
      </w:pPr>
      <w:r w:rsidRPr="008D5204">
        <w:rPr>
          <w:lang w:val="fr-FR"/>
        </w:rPr>
        <w:t>D</w:t>
      </w:r>
      <w:r w:rsidR="00FB235C" w:rsidRPr="001702A2">
        <w:rPr>
          <w:lang w:val="fr-FR"/>
        </w:rPr>
        <w:t xml:space="preserve">e Gouges, </w:t>
      </w:r>
      <w:r w:rsidRPr="001702A2">
        <w:rPr>
          <w:lang w:val="fr-FR"/>
        </w:rPr>
        <w:t>Olympes</w:t>
      </w:r>
      <w:r>
        <w:rPr>
          <w:lang w:val="fr-FR"/>
        </w:rPr>
        <w:t>,</w:t>
      </w:r>
      <w:r w:rsidRPr="001702A2">
        <w:rPr>
          <w:lang w:val="fr-FR"/>
        </w:rPr>
        <w:t xml:space="preserve"> </w:t>
      </w:r>
      <w:r w:rsidR="00FB235C" w:rsidRPr="001702A2">
        <w:rPr>
          <w:i/>
          <w:lang w:val="fr-FR"/>
        </w:rPr>
        <w:t xml:space="preserve">Le Couvent ou les Vœux Forcés, </w:t>
      </w:r>
      <w:r w:rsidR="00FB235C" w:rsidRPr="001702A2">
        <w:rPr>
          <w:lang w:val="fr-FR"/>
        </w:rPr>
        <w:t xml:space="preserve"> </w:t>
      </w:r>
      <w:r w:rsidR="00FA4F65">
        <w:rPr>
          <w:lang w:val="fr-FR"/>
        </w:rPr>
        <w:br/>
      </w:r>
      <w:r w:rsidR="00FB235C" w:rsidRPr="001702A2">
        <w:rPr>
          <w:lang w:val="fr-FR"/>
        </w:rPr>
        <w:t>premi</w:t>
      </w:r>
      <w:r w:rsidR="00FB235C" w:rsidRPr="001702A2">
        <w:rPr>
          <w:rFonts w:cs="Times New Roman"/>
          <w:lang w:val="fr-FR"/>
        </w:rPr>
        <w:t>è</w:t>
      </w:r>
      <w:r w:rsidR="00FB235C" w:rsidRPr="001702A2">
        <w:rPr>
          <w:lang w:val="fr-FR"/>
        </w:rPr>
        <w:t>re le 21 octobre, 1790</w:t>
      </w:r>
      <w:r w:rsidR="00D06CF0">
        <w:rPr>
          <w:lang w:val="fr-FR"/>
        </w:rPr>
        <w:t>.</w:t>
      </w:r>
      <w:r w:rsidR="00D06CF0">
        <w:rPr>
          <w:lang w:val="fr-FR"/>
        </w:rPr>
        <w:br/>
      </w:r>
    </w:p>
    <w:p w:rsidR="00FB235C" w:rsidRPr="001702A2" w:rsidRDefault="00FB235C" w:rsidP="00203199">
      <w:pPr>
        <w:pStyle w:val="NoSpacing"/>
        <w:numPr>
          <w:ilvl w:val="0"/>
          <w:numId w:val="27"/>
        </w:numPr>
        <w:rPr>
          <w:lang w:val="fr-FR"/>
        </w:rPr>
      </w:pPr>
      <w:r w:rsidRPr="001702A2">
        <w:rPr>
          <w:lang w:val="fr-FR"/>
        </w:rPr>
        <w:t xml:space="preserve">Picard, </w:t>
      </w:r>
      <w:r w:rsidRPr="001702A2">
        <w:rPr>
          <w:i/>
          <w:lang w:val="fr-FR"/>
        </w:rPr>
        <w:t xml:space="preserve"> </w:t>
      </w:r>
      <w:r w:rsidR="008D5204" w:rsidRPr="001702A2">
        <w:rPr>
          <w:lang w:val="fr-FR"/>
        </w:rPr>
        <w:t>Louis-Benoit</w:t>
      </w:r>
      <w:r w:rsidR="008D5204">
        <w:rPr>
          <w:lang w:val="fr-FR"/>
        </w:rPr>
        <w:t>,</w:t>
      </w:r>
      <w:r w:rsidR="008D5204" w:rsidRPr="001702A2">
        <w:rPr>
          <w:lang w:val="fr-FR"/>
        </w:rPr>
        <w:t xml:space="preserve"> </w:t>
      </w:r>
      <w:r w:rsidRPr="001702A2">
        <w:rPr>
          <w:i/>
          <w:lang w:val="fr-FR"/>
        </w:rPr>
        <w:t>Les Visitandines,</w:t>
      </w:r>
      <w:r w:rsidRPr="001702A2">
        <w:rPr>
          <w:lang w:val="fr-FR"/>
        </w:rPr>
        <w:t xml:space="preserve"> premi</w:t>
      </w:r>
      <w:r w:rsidRPr="001702A2">
        <w:rPr>
          <w:rFonts w:cs="Times New Roman"/>
          <w:lang w:val="fr-FR"/>
        </w:rPr>
        <w:t>ère le 7 aout, 1792</w:t>
      </w:r>
      <w:r w:rsidR="00D06CF0">
        <w:rPr>
          <w:rFonts w:cs="Times New Roman"/>
          <w:lang w:val="fr-FR"/>
        </w:rPr>
        <w:t>.</w:t>
      </w:r>
      <w:r w:rsidR="00D06CF0">
        <w:rPr>
          <w:rFonts w:cs="Times New Roman"/>
          <w:lang w:val="fr-FR"/>
        </w:rPr>
        <w:br/>
      </w:r>
    </w:p>
    <w:p w:rsidR="00203199" w:rsidRPr="008D5204" w:rsidRDefault="00FB235C" w:rsidP="008D5204">
      <w:pPr>
        <w:pStyle w:val="NoSpacing"/>
        <w:numPr>
          <w:ilvl w:val="0"/>
          <w:numId w:val="27"/>
        </w:numPr>
        <w:rPr>
          <w:lang w:val="fr-FR"/>
        </w:rPr>
      </w:pPr>
      <w:r w:rsidRPr="001702A2">
        <w:rPr>
          <w:rFonts w:cs="Times New Roman"/>
          <w:lang w:val="fr-FR"/>
        </w:rPr>
        <w:t xml:space="preserve">Pigault-Lebrun, </w:t>
      </w:r>
      <w:r w:rsidR="008D5204" w:rsidRPr="001702A2">
        <w:rPr>
          <w:rFonts w:cs="Times New Roman"/>
          <w:lang w:val="fr-FR"/>
        </w:rPr>
        <w:t>Charles-Antoine</w:t>
      </w:r>
      <w:r w:rsidR="008D5204">
        <w:rPr>
          <w:rFonts w:cs="Times New Roman"/>
          <w:lang w:val="fr-FR"/>
        </w:rPr>
        <w:t>,</w:t>
      </w:r>
      <w:r w:rsidR="008D5204" w:rsidRPr="001702A2">
        <w:rPr>
          <w:rFonts w:cs="Times New Roman"/>
          <w:lang w:val="fr-FR"/>
        </w:rPr>
        <w:t xml:space="preserve"> </w:t>
      </w:r>
      <w:r w:rsidRPr="001702A2">
        <w:rPr>
          <w:rFonts w:cs="Times New Roman"/>
          <w:i/>
          <w:lang w:val="fr-FR"/>
        </w:rPr>
        <w:t>Les Dragons et les Bénédictines,</w:t>
      </w:r>
      <w:r w:rsidRPr="001702A2">
        <w:rPr>
          <w:rFonts w:cs="Times New Roman"/>
          <w:lang w:val="fr-FR"/>
        </w:rPr>
        <w:t xml:space="preserve"> </w:t>
      </w:r>
      <w:r w:rsidR="00FA4F65">
        <w:rPr>
          <w:rFonts w:cs="Times New Roman"/>
          <w:lang w:val="fr-FR"/>
        </w:rPr>
        <w:br/>
      </w:r>
      <w:r w:rsidRPr="001702A2">
        <w:rPr>
          <w:rFonts w:cs="Times New Roman"/>
          <w:lang w:val="fr-FR"/>
        </w:rPr>
        <w:t>première le 6 février, 1794</w:t>
      </w:r>
      <w:r w:rsidR="00D06CF0">
        <w:rPr>
          <w:rFonts w:cs="Times New Roman"/>
          <w:lang w:val="fr-FR"/>
        </w:rPr>
        <w:t>.</w:t>
      </w:r>
      <w:r w:rsidR="00D06CF0">
        <w:rPr>
          <w:rFonts w:cs="Times New Roman"/>
          <w:lang w:val="fr-FR"/>
        </w:rPr>
        <w:br/>
      </w:r>
    </w:p>
    <w:p w:rsidR="00203199" w:rsidRDefault="00203199" w:rsidP="00764FB2">
      <w:pPr>
        <w:pStyle w:val="Heading3"/>
        <w:rPr>
          <w:lang w:val="fr-FR"/>
        </w:rPr>
      </w:pPr>
      <w:r w:rsidRPr="00A7334A">
        <w:rPr>
          <w:lang w:val="fr-FR"/>
        </w:rPr>
        <w:t>Primary Sources</w:t>
      </w:r>
    </w:p>
    <w:p w:rsidR="00203199" w:rsidRDefault="00203199" w:rsidP="00203199">
      <w:pPr>
        <w:pStyle w:val="NoSpacing"/>
        <w:rPr>
          <w:b/>
          <w:lang w:val="fr-FR"/>
        </w:rPr>
      </w:pPr>
    </w:p>
    <w:p w:rsidR="00203199" w:rsidRDefault="00203199" w:rsidP="00203199">
      <w:pPr>
        <w:pStyle w:val="NoSpacing"/>
        <w:numPr>
          <w:ilvl w:val="0"/>
          <w:numId w:val="27"/>
        </w:numPr>
        <w:rPr>
          <w:lang w:val="fr-FR"/>
        </w:rPr>
      </w:pPr>
      <w:r w:rsidRPr="00203199">
        <w:rPr>
          <w:lang w:val="fr-FR"/>
        </w:rPr>
        <w:t>Du Cre</w:t>
      </w:r>
      <w:r w:rsidRPr="00203199">
        <w:rPr>
          <w:rFonts w:cs="Times New Roman"/>
          <w:lang w:val="fr-FR"/>
        </w:rPr>
        <w:t xml:space="preserve">st, </w:t>
      </w:r>
      <w:r w:rsidRPr="00203199">
        <w:rPr>
          <w:lang w:val="fr-FR"/>
        </w:rPr>
        <w:t xml:space="preserve">Stéphanie-Félicité, (1746-1830; comtesse de Genlis), ou Mme de Brular, ci-devant Mme de Sillery, </w:t>
      </w:r>
      <w:r w:rsidRPr="00203199">
        <w:rPr>
          <w:i/>
          <w:lang w:val="fr-FR"/>
        </w:rPr>
        <w:t>Discours sur la suppression des couvens de religieuses, et sur l’éducation publique des femmes,</w:t>
      </w:r>
      <w:r w:rsidRPr="00203199">
        <w:rPr>
          <w:lang w:val="fr-FR"/>
        </w:rPr>
        <w:t xml:space="preserve"> (Paris: Onfroy, 1790)</w:t>
      </w:r>
      <w:r w:rsidR="00D06CF0">
        <w:rPr>
          <w:lang w:val="fr-FR"/>
        </w:rPr>
        <w:t>.</w:t>
      </w:r>
      <w:r w:rsidR="00D06CF0">
        <w:rPr>
          <w:lang w:val="fr-FR"/>
        </w:rPr>
        <w:br/>
      </w:r>
    </w:p>
    <w:p w:rsidR="008D5204" w:rsidRDefault="008D5204" w:rsidP="00203199">
      <w:pPr>
        <w:pStyle w:val="NoSpacing"/>
        <w:numPr>
          <w:ilvl w:val="0"/>
          <w:numId w:val="27"/>
        </w:numPr>
        <w:rPr>
          <w:lang w:val="fr-FR"/>
        </w:rPr>
      </w:pPr>
      <w:r>
        <w:rPr>
          <w:lang w:val="fr-FR"/>
        </w:rPr>
        <w:t xml:space="preserve">Laujon, Pierre, </w:t>
      </w:r>
      <w:r>
        <w:rPr>
          <w:i/>
          <w:lang w:val="fr-FR"/>
        </w:rPr>
        <w:t>Le Couvent ou les fruits du caractere et de l’éducation,</w:t>
      </w:r>
      <w:r w:rsidR="00FA4F65">
        <w:rPr>
          <w:i/>
          <w:lang w:val="fr-FR"/>
        </w:rPr>
        <w:br/>
      </w:r>
      <w:r>
        <w:rPr>
          <w:i/>
          <w:lang w:val="fr-FR"/>
        </w:rPr>
        <w:t xml:space="preserve"> </w:t>
      </w:r>
      <w:r w:rsidR="00545716">
        <w:rPr>
          <w:lang w:val="fr-FR"/>
        </w:rPr>
        <w:t>première</w:t>
      </w:r>
      <w:r>
        <w:rPr>
          <w:lang w:val="fr-FR"/>
        </w:rPr>
        <w:t xml:space="preserve"> le 16 avril, 1790.</w:t>
      </w:r>
      <w:r w:rsidR="00D06CF0">
        <w:rPr>
          <w:lang w:val="fr-FR"/>
        </w:rPr>
        <w:br/>
      </w:r>
    </w:p>
    <w:p w:rsidR="00D06CF0" w:rsidRDefault="008D5204" w:rsidP="00D06CF0">
      <w:pPr>
        <w:pStyle w:val="NoSpacing"/>
        <w:numPr>
          <w:ilvl w:val="0"/>
          <w:numId w:val="27"/>
        </w:numPr>
        <w:rPr>
          <w:lang w:val="fr-FR"/>
        </w:rPr>
      </w:pPr>
      <w:r>
        <w:rPr>
          <w:lang w:val="fr-FR"/>
        </w:rPr>
        <w:t xml:space="preserve">Fiévée, Joseph, </w:t>
      </w:r>
      <w:r>
        <w:rPr>
          <w:i/>
          <w:lang w:val="fr-FR"/>
        </w:rPr>
        <w:t xml:space="preserve">Les Rigueurs du Cloitre, </w:t>
      </w:r>
      <w:r>
        <w:rPr>
          <w:lang w:val="fr-FR"/>
        </w:rPr>
        <w:t>premier le 23 aout, 1790</w:t>
      </w:r>
      <w:r w:rsidR="00D06CF0">
        <w:rPr>
          <w:lang w:val="fr-FR"/>
        </w:rPr>
        <w:t>.</w:t>
      </w:r>
    </w:p>
    <w:p w:rsidR="00D06CF0" w:rsidRPr="00D06CF0" w:rsidRDefault="00D06CF0" w:rsidP="00D06CF0">
      <w:pPr>
        <w:pStyle w:val="NoSpacing"/>
        <w:ind w:left="360"/>
        <w:rPr>
          <w:lang w:val="fr-FR"/>
        </w:rPr>
      </w:pPr>
    </w:p>
    <w:p w:rsidR="008D5204" w:rsidRPr="008D5204" w:rsidRDefault="008D5204" w:rsidP="008D5204">
      <w:pPr>
        <w:pStyle w:val="ListParagraph"/>
        <w:numPr>
          <w:ilvl w:val="0"/>
          <w:numId w:val="27"/>
        </w:numPr>
        <w:rPr>
          <w:rFonts w:eastAsia="Times New Roman" w:cs="Times New Roman"/>
          <w:sz w:val="24"/>
          <w:szCs w:val="24"/>
          <w:lang w:val="fr-FR" w:eastAsia="en-GB"/>
        </w:rPr>
      </w:pPr>
      <w:r w:rsidRPr="008D5204">
        <w:rPr>
          <w:lang w:val="fr-FR"/>
        </w:rPr>
        <w:t>Pigault-Lebrun, Charles-Antoine,</w:t>
      </w:r>
      <w:r w:rsidRPr="008D5204">
        <w:rPr>
          <w:i/>
          <w:lang w:val="fr-FR"/>
        </w:rPr>
        <w:t xml:space="preserve"> L</w:t>
      </w:r>
      <w:r w:rsidRPr="008D5204">
        <w:rPr>
          <w:rFonts w:eastAsia="Times New Roman" w:cs="Times New Roman"/>
          <w:bCs/>
          <w:i/>
          <w:iCs/>
          <w:lang w:val="fr-FR" w:eastAsia="en-GB"/>
        </w:rPr>
        <w:t>es Dragons en cantonnement, ou la Suite des Bénédictines,</w:t>
      </w:r>
      <w:r w:rsidRPr="008D5204">
        <w:rPr>
          <w:rFonts w:eastAsia="Times New Roman" w:cs="Times New Roman"/>
          <w:bCs/>
          <w:iCs/>
          <w:lang w:val="fr-FR" w:eastAsia="en-GB"/>
        </w:rPr>
        <w:t xml:space="preserve"> </w:t>
      </w:r>
      <w:r w:rsidRPr="008D5204">
        <w:rPr>
          <w:rFonts w:eastAsia="Times New Roman" w:cs="Times New Roman"/>
          <w:bCs/>
          <w:lang w:val="fr-FR" w:eastAsia="en-GB"/>
        </w:rPr>
        <w:t>première le 13 février, 1794</w:t>
      </w:r>
      <w:r w:rsidR="00D06CF0">
        <w:rPr>
          <w:rFonts w:eastAsia="Times New Roman" w:cs="Times New Roman"/>
          <w:bCs/>
          <w:lang w:val="fr-FR" w:eastAsia="en-GB"/>
        </w:rPr>
        <w:t>.</w:t>
      </w:r>
      <w:r w:rsidR="00D06CF0">
        <w:rPr>
          <w:rFonts w:eastAsia="Times New Roman" w:cs="Times New Roman"/>
          <w:bCs/>
          <w:lang w:val="fr-FR" w:eastAsia="en-GB"/>
        </w:rPr>
        <w:br/>
      </w:r>
    </w:p>
    <w:p w:rsidR="00203199" w:rsidRDefault="00203199" w:rsidP="00764FB2">
      <w:pPr>
        <w:pStyle w:val="Heading3"/>
        <w:rPr>
          <w:lang w:val="fr-FR"/>
        </w:rPr>
      </w:pPr>
      <w:r>
        <w:rPr>
          <w:lang w:val="fr-FR"/>
        </w:rPr>
        <w:t>Secondary Texts</w:t>
      </w:r>
    </w:p>
    <w:p w:rsidR="00203199" w:rsidRPr="00203199" w:rsidRDefault="00203199" w:rsidP="00203199">
      <w:pPr>
        <w:pStyle w:val="NoSpacing"/>
        <w:rPr>
          <w:b/>
          <w:lang w:val="fr-FR"/>
        </w:rPr>
      </w:pPr>
    </w:p>
    <w:p w:rsidR="008D5204" w:rsidRDefault="008D5204" w:rsidP="00203199">
      <w:pPr>
        <w:pStyle w:val="NoSpacing"/>
        <w:numPr>
          <w:ilvl w:val="0"/>
          <w:numId w:val="27"/>
        </w:numPr>
      </w:pPr>
      <w:r>
        <w:t xml:space="preserve">Abray, Jane, ‘Feminism in the French Revolution’ in </w:t>
      </w:r>
      <w:r>
        <w:rPr>
          <w:i/>
        </w:rPr>
        <w:t xml:space="preserve">The American Historical Review, </w:t>
      </w:r>
      <w:r>
        <w:t>Volume 80, Number 1, (February, 1975), 43-62</w:t>
      </w:r>
      <w:r w:rsidR="00D06CF0">
        <w:t>.</w:t>
      </w:r>
      <w:r w:rsidR="00D06CF0">
        <w:br/>
      </w:r>
    </w:p>
    <w:p w:rsidR="00203199" w:rsidRPr="00BC250C" w:rsidRDefault="00203199" w:rsidP="00203199">
      <w:pPr>
        <w:pStyle w:val="NoSpacing"/>
        <w:numPr>
          <w:ilvl w:val="0"/>
          <w:numId w:val="27"/>
        </w:numPr>
      </w:pPr>
      <w:r w:rsidRPr="00BC250C">
        <w:t>Berlanstein,</w:t>
      </w:r>
      <w:r w:rsidRPr="00BC250C">
        <w:rPr>
          <w:i/>
        </w:rPr>
        <w:t xml:space="preserve"> </w:t>
      </w:r>
      <w:r w:rsidRPr="00BC250C">
        <w:t>Lenard R.</w:t>
      </w:r>
      <w:r>
        <w:t>,</w:t>
      </w:r>
      <w:r w:rsidRPr="00BC250C">
        <w:t xml:space="preserve"> </w:t>
      </w:r>
      <w:r w:rsidRPr="00BC250C">
        <w:rPr>
          <w:i/>
        </w:rPr>
        <w:t>Daughters of Eve: a cultural history of French theater women from the Old Regime to the fin de siècle,</w:t>
      </w:r>
      <w:r w:rsidRPr="00BC250C">
        <w:t xml:space="preserve"> (Cambridge, Mass.: Harvard University Press, 2001)</w:t>
      </w:r>
      <w:r w:rsidR="00D06CF0">
        <w:t>.</w:t>
      </w:r>
      <w:r w:rsidR="00D06CF0">
        <w:br/>
      </w:r>
    </w:p>
    <w:p w:rsidR="007861A8" w:rsidRPr="007861A8" w:rsidRDefault="007861A8" w:rsidP="007861A8">
      <w:pPr>
        <w:pStyle w:val="NoSpacing"/>
        <w:numPr>
          <w:ilvl w:val="0"/>
          <w:numId w:val="27"/>
        </w:numPr>
        <w:rPr>
          <w:lang w:val="fr-FR"/>
        </w:rPr>
      </w:pPr>
      <w:r w:rsidRPr="007861A8">
        <w:rPr>
          <w:lang w:val="fr-FR"/>
        </w:rPr>
        <w:t xml:space="preserve">Brive, Marie-France (ed.), </w:t>
      </w:r>
      <w:r w:rsidRPr="007861A8">
        <w:rPr>
          <w:i/>
          <w:lang w:val="fr-FR"/>
        </w:rPr>
        <w:t>Les Femmes et La Révolution Française,</w:t>
      </w:r>
      <w:r>
        <w:rPr>
          <w:lang w:val="fr-FR"/>
        </w:rPr>
        <w:t xml:space="preserve"> (Toulouse: Presses Universitaires du Mirail, 1989)</w:t>
      </w:r>
      <w:r w:rsidR="00D06CF0">
        <w:rPr>
          <w:lang w:val="fr-FR"/>
        </w:rPr>
        <w:t>.</w:t>
      </w:r>
      <w:r w:rsidR="00D06CF0">
        <w:rPr>
          <w:lang w:val="fr-FR"/>
        </w:rPr>
        <w:br/>
      </w:r>
    </w:p>
    <w:p w:rsidR="00764FB2" w:rsidRDefault="00764FB2" w:rsidP="00764FB2">
      <w:pPr>
        <w:pStyle w:val="NoSpacing"/>
        <w:numPr>
          <w:ilvl w:val="0"/>
          <w:numId w:val="27"/>
        </w:numPr>
      </w:pPr>
      <w:r>
        <w:t xml:space="preserve">Burke, Peter and Porter, Roy (eds.), </w:t>
      </w:r>
      <w:r>
        <w:rPr>
          <w:i/>
        </w:rPr>
        <w:t>The Social History of Language,</w:t>
      </w:r>
      <w:r>
        <w:t xml:space="preserve"> (New York: Cambridge University Press, 1987)</w:t>
      </w:r>
      <w:r w:rsidR="00D06CF0">
        <w:t>.</w:t>
      </w:r>
      <w:r w:rsidR="00D06CF0">
        <w:br/>
      </w:r>
    </w:p>
    <w:p w:rsidR="00203199" w:rsidRDefault="00203199" w:rsidP="00203199">
      <w:pPr>
        <w:pStyle w:val="NoSpacing"/>
        <w:numPr>
          <w:ilvl w:val="0"/>
          <w:numId w:val="27"/>
        </w:numPr>
      </w:pPr>
      <w:r w:rsidRPr="00BC250C">
        <w:t>Choudhury, Mita</w:t>
      </w:r>
      <w:r>
        <w:t>,</w:t>
      </w:r>
      <w:r w:rsidRPr="00BC250C">
        <w:t xml:space="preserve"> </w:t>
      </w:r>
      <w:r w:rsidRPr="00BC250C">
        <w:rPr>
          <w:i/>
        </w:rPr>
        <w:t xml:space="preserve">Convents and Nuns in Eighteenth-Century French Politics and Culture, </w:t>
      </w:r>
      <w:r w:rsidRPr="00BC250C">
        <w:t>(</w:t>
      </w:r>
      <w:r w:rsidRPr="00764FB2">
        <w:t>London: Cornell University Press, 2004)</w:t>
      </w:r>
      <w:r w:rsidR="00D06CF0">
        <w:t>.</w:t>
      </w:r>
      <w:r w:rsidR="00D06CF0">
        <w:br/>
      </w:r>
    </w:p>
    <w:p w:rsidR="00CF01A9" w:rsidRPr="00764FB2" w:rsidRDefault="00340760" w:rsidP="00203199">
      <w:pPr>
        <w:pStyle w:val="NoSpacing"/>
        <w:numPr>
          <w:ilvl w:val="0"/>
          <w:numId w:val="27"/>
        </w:numPr>
      </w:pPr>
      <w:r>
        <w:t xml:space="preserve">Choudhury, Mita, ‘Despotic Habits: The Critique of Power and Its </w:t>
      </w:r>
      <w:r w:rsidR="00810091">
        <w:t>A</w:t>
      </w:r>
      <w:r>
        <w:t xml:space="preserve">buses in </w:t>
      </w:r>
      <w:r w:rsidR="00810091">
        <w:t>a</w:t>
      </w:r>
      <w:r>
        <w:t xml:space="preserve">n Eighteenth-Century Convent,’ in </w:t>
      </w:r>
      <w:r>
        <w:rPr>
          <w:i/>
        </w:rPr>
        <w:t>French Historical Studies,</w:t>
      </w:r>
      <w:r>
        <w:t xml:space="preserve"> Volume 23, Number 1, (2000), 33-65</w:t>
      </w:r>
      <w:r w:rsidR="00D06CF0">
        <w:t>.</w:t>
      </w:r>
    </w:p>
    <w:p w:rsidR="00203199" w:rsidRPr="00BC250C" w:rsidRDefault="00203199" w:rsidP="00203199">
      <w:pPr>
        <w:pStyle w:val="NoSpacing"/>
        <w:numPr>
          <w:ilvl w:val="0"/>
          <w:numId w:val="27"/>
        </w:numPr>
        <w:rPr>
          <w:lang w:val="fr-FR"/>
        </w:rPr>
      </w:pPr>
      <w:r w:rsidRPr="00764FB2">
        <w:rPr>
          <w:lang w:val="fr-FR"/>
        </w:rPr>
        <w:t>De Souza, Augusta</w:t>
      </w:r>
      <w:r w:rsidRPr="00BC250C">
        <w:rPr>
          <w:lang w:val="fr-FR"/>
        </w:rPr>
        <w:t xml:space="preserve"> Marie Joseph Bougelet</w:t>
      </w:r>
      <w:r>
        <w:rPr>
          <w:lang w:val="fr-FR"/>
        </w:rPr>
        <w:t>,</w:t>
      </w:r>
      <w:r w:rsidRPr="00BC250C">
        <w:rPr>
          <w:lang w:val="fr-FR"/>
        </w:rPr>
        <w:t xml:space="preserve"> </w:t>
      </w:r>
      <w:r w:rsidRPr="00BC250C">
        <w:rPr>
          <w:i/>
          <w:lang w:val="fr-FR"/>
        </w:rPr>
        <w:t>Le Rire au Théâtre pendant la Révolution française,</w:t>
      </w:r>
      <w:r w:rsidRPr="00BC250C">
        <w:rPr>
          <w:lang w:val="fr-FR"/>
        </w:rPr>
        <w:t xml:space="preserve"> (Bruxelles: L’Egalitine, 1928)</w:t>
      </w:r>
      <w:r w:rsidR="00D06CF0">
        <w:rPr>
          <w:lang w:val="fr-FR"/>
        </w:rPr>
        <w:t>.</w:t>
      </w:r>
      <w:r w:rsidR="00D06CF0">
        <w:rPr>
          <w:lang w:val="fr-FR"/>
        </w:rPr>
        <w:br/>
      </w:r>
    </w:p>
    <w:p w:rsidR="00D06CF0" w:rsidRPr="00BC250C" w:rsidRDefault="00203199" w:rsidP="00D06CF0">
      <w:pPr>
        <w:pStyle w:val="NoSpacing"/>
        <w:numPr>
          <w:ilvl w:val="0"/>
          <w:numId w:val="27"/>
        </w:numPr>
      </w:pPr>
      <w:r w:rsidRPr="00BC250C">
        <w:t>Doyle, William</w:t>
      </w:r>
      <w:r>
        <w:t>,</w:t>
      </w:r>
      <w:r w:rsidRPr="00BC250C">
        <w:t xml:space="preserve"> </w:t>
      </w:r>
      <w:r w:rsidRPr="00BC250C">
        <w:rPr>
          <w:i/>
        </w:rPr>
        <w:t>The Oxford History of the French Revolution, Second Edition,</w:t>
      </w:r>
      <w:r w:rsidRPr="00BC250C">
        <w:t>(New York: Oxford University Press, 2002)</w:t>
      </w:r>
      <w:r w:rsidR="00D06CF0">
        <w:t>.</w:t>
      </w:r>
      <w:r w:rsidR="00D06CF0">
        <w:br/>
      </w:r>
    </w:p>
    <w:p w:rsidR="00203199" w:rsidRPr="003C44B7" w:rsidRDefault="00203199" w:rsidP="00203199">
      <w:pPr>
        <w:pStyle w:val="NoSpacing"/>
        <w:numPr>
          <w:ilvl w:val="0"/>
          <w:numId w:val="27"/>
        </w:numPr>
      </w:pPr>
      <w:r w:rsidRPr="00BC250C">
        <w:t>Ford, Caroline C.</w:t>
      </w:r>
      <w:r>
        <w:t>,</w:t>
      </w:r>
      <w:r w:rsidRPr="00BC250C">
        <w:t xml:space="preserve"> </w:t>
      </w:r>
      <w:r w:rsidRPr="00BC250C">
        <w:rPr>
          <w:i/>
        </w:rPr>
        <w:t xml:space="preserve">Divided Houses: Religion and Gender in Modern France, </w:t>
      </w:r>
      <w:r w:rsidRPr="00BC250C">
        <w:t xml:space="preserve">(New York: </w:t>
      </w:r>
      <w:r w:rsidRPr="003C44B7">
        <w:t>Cornell University Press, 2005)</w:t>
      </w:r>
      <w:r w:rsidR="00D06CF0">
        <w:t>.</w:t>
      </w:r>
      <w:r w:rsidR="00D06CF0">
        <w:br/>
      </w:r>
    </w:p>
    <w:p w:rsidR="00CF01A9" w:rsidRPr="00CF01A9" w:rsidRDefault="00CF01A9" w:rsidP="00203199">
      <w:pPr>
        <w:pStyle w:val="NoSpacing"/>
        <w:numPr>
          <w:ilvl w:val="0"/>
          <w:numId w:val="27"/>
        </w:numPr>
        <w:rPr>
          <w:sz w:val="24"/>
          <w:lang w:val="fr-FR"/>
        </w:rPr>
      </w:pPr>
      <w:r w:rsidRPr="00CF01A9">
        <w:rPr>
          <w:rFonts w:cs="Times New Roman"/>
          <w:szCs w:val="20"/>
          <w:lang w:val="fr-FR"/>
        </w:rPr>
        <w:t xml:space="preserve">Gilbert and Allouard, </w:t>
      </w:r>
      <w:r w:rsidRPr="00CF01A9">
        <w:rPr>
          <w:rFonts w:cs="Times New Roman"/>
          <w:i/>
          <w:color w:val="000000"/>
          <w:szCs w:val="20"/>
          <w:lang w:val="fr-FR"/>
        </w:rPr>
        <w:t xml:space="preserve">Théâtre choisi de L.-B. Picard (Nouvel. édition.), précédée d'une notice par M. Edouard Fournier ; et illustrée de quatre dessins en couleur, </w:t>
      </w:r>
      <w:r w:rsidRPr="00CF01A9">
        <w:rPr>
          <w:rFonts w:cs="Times New Roman"/>
          <w:color w:val="000000"/>
          <w:szCs w:val="20"/>
          <w:lang w:val="fr-FR"/>
        </w:rPr>
        <w:t>(Paris : La</w:t>
      </w:r>
      <w:r w:rsidR="00D06CF0">
        <w:rPr>
          <w:rFonts w:cs="Times New Roman"/>
          <w:color w:val="000000"/>
          <w:szCs w:val="20"/>
          <w:lang w:val="fr-FR"/>
        </w:rPr>
        <w:t>place, Sanchez, 1881).</w:t>
      </w:r>
      <w:r w:rsidR="00D06CF0">
        <w:rPr>
          <w:rFonts w:cs="Times New Roman"/>
          <w:color w:val="000000"/>
          <w:szCs w:val="20"/>
          <w:lang w:val="fr-FR"/>
        </w:rPr>
        <w:br/>
      </w:r>
    </w:p>
    <w:p w:rsidR="00203199" w:rsidRPr="003C44B7" w:rsidRDefault="00203199" w:rsidP="00203199">
      <w:pPr>
        <w:pStyle w:val="NoSpacing"/>
        <w:numPr>
          <w:ilvl w:val="0"/>
          <w:numId w:val="27"/>
        </w:numPr>
        <w:rPr>
          <w:lang w:val="fr-FR"/>
        </w:rPr>
      </w:pPr>
      <w:r w:rsidRPr="003C44B7">
        <w:rPr>
          <w:lang w:val="fr-FR"/>
        </w:rPr>
        <w:t xml:space="preserve">Ginisty, Paul, </w:t>
      </w:r>
      <w:r w:rsidRPr="003C44B7">
        <w:rPr>
          <w:i/>
          <w:lang w:val="fr-FR"/>
        </w:rPr>
        <w:t xml:space="preserve">Le </w:t>
      </w:r>
      <w:r w:rsidR="00545716" w:rsidRPr="003C44B7">
        <w:rPr>
          <w:i/>
          <w:lang w:val="fr-FR"/>
        </w:rPr>
        <w:t>Mélodrame</w:t>
      </w:r>
      <w:r w:rsidRPr="003C44B7">
        <w:rPr>
          <w:i/>
          <w:lang w:val="fr-FR"/>
        </w:rPr>
        <w:t xml:space="preserve">, </w:t>
      </w:r>
      <w:r w:rsidR="003C44B7" w:rsidRPr="003C44B7">
        <w:rPr>
          <w:lang w:val="fr-FR"/>
        </w:rPr>
        <w:t xml:space="preserve">(Paris: </w:t>
      </w:r>
      <w:r w:rsidRPr="003C44B7">
        <w:rPr>
          <w:lang w:val="fr-FR"/>
        </w:rPr>
        <w:t>Louis Michaud, 1900</w:t>
      </w:r>
      <w:r w:rsidR="003C44B7" w:rsidRPr="003C44B7">
        <w:rPr>
          <w:lang w:val="fr-FR"/>
        </w:rPr>
        <w:t>)</w:t>
      </w:r>
      <w:r w:rsidR="00D06CF0">
        <w:rPr>
          <w:lang w:val="fr-FR"/>
        </w:rPr>
        <w:t>.</w:t>
      </w:r>
      <w:r w:rsidR="00D06CF0">
        <w:rPr>
          <w:lang w:val="fr-FR"/>
        </w:rPr>
        <w:br/>
      </w:r>
    </w:p>
    <w:p w:rsidR="00203199" w:rsidRDefault="00203199" w:rsidP="00203199">
      <w:pPr>
        <w:pStyle w:val="NoSpacing"/>
        <w:numPr>
          <w:ilvl w:val="0"/>
          <w:numId w:val="27"/>
        </w:numPr>
      </w:pPr>
      <w:r w:rsidRPr="00BC250C">
        <w:t xml:space="preserve">Hufton, Olwen </w:t>
      </w:r>
      <w:r w:rsidRPr="00764FB2">
        <w:t xml:space="preserve">H., </w:t>
      </w:r>
      <w:r w:rsidRPr="00764FB2">
        <w:rPr>
          <w:i/>
        </w:rPr>
        <w:t>Women</w:t>
      </w:r>
      <w:r w:rsidRPr="00BC250C">
        <w:rPr>
          <w:i/>
        </w:rPr>
        <w:t xml:space="preserve"> and the Limits of Citizenship in the French Revolution: The Donald G. Creighton Lectures, 1989, </w:t>
      </w:r>
      <w:r w:rsidRPr="00BC250C">
        <w:t>(London: University of Toronto Press, 1992)</w:t>
      </w:r>
      <w:r w:rsidR="00D06CF0">
        <w:t>.</w:t>
      </w:r>
      <w:r w:rsidR="00D06CF0">
        <w:br/>
      </w:r>
    </w:p>
    <w:p w:rsidR="00203199" w:rsidRPr="00BC250C" w:rsidRDefault="00203199" w:rsidP="00203199">
      <w:pPr>
        <w:pStyle w:val="NoSpacing"/>
        <w:numPr>
          <w:ilvl w:val="0"/>
          <w:numId w:val="27"/>
        </w:numPr>
      </w:pPr>
      <w:r w:rsidRPr="00BC250C">
        <w:t xml:space="preserve">Hunt, Lynn, </w:t>
      </w:r>
      <w:r w:rsidRPr="00BC250C">
        <w:rPr>
          <w:i/>
        </w:rPr>
        <w:t xml:space="preserve">Politics, Culture, and Class in the French Revolution, </w:t>
      </w:r>
      <w:r w:rsidRPr="00BC250C">
        <w:t>(Berkeley: University of California Press, 1984)</w:t>
      </w:r>
      <w:r w:rsidR="00D06CF0">
        <w:t>.</w:t>
      </w:r>
      <w:r w:rsidR="00D06CF0">
        <w:br/>
      </w:r>
    </w:p>
    <w:p w:rsidR="00203199" w:rsidRDefault="00203199" w:rsidP="00203199">
      <w:pPr>
        <w:pStyle w:val="NoSpacing"/>
        <w:numPr>
          <w:ilvl w:val="0"/>
          <w:numId w:val="27"/>
        </w:numPr>
      </w:pPr>
      <w:r w:rsidRPr="00BC250C">
        <w:t xml:space="preserve">Hyslop, Beatrice F., ‘The Theater during a Crisis: the Parisian Theater during the Reign of Terror’ in </w:t>
      </w:r>
      <w:r w:rsidRPr="00BC250C">
        <w:rPr>
          <w:i/>
        </w:rPr>
        <w:t xml:space="preserve">The Journal of Modern History, </w:t>
      </w:r>
      <w:r w:rsidRPr="00BC250C">
        <w:t>Vol. 17, No. 4 (December 1945), 332-355</w:t>
      </w:r>
      <w:r w:rsidR="00D06CF0">
        <w:t>.</w:t>
      </w:r>
      <w:r w:rsidR="00D06CF0">
        <w:br/>
      </w:r>
    </w:p>
    <w:p w:rsidR="00203199" w:rsidRDefault="00203199" w:rsidP="00203199">
      <w:pPr>
        <w:pStyle w:val="NoSpacing"/>
        <w:numPr>
          <w:ilvl w:val="0"/>
          <w:numId w:val="27"/>
        </w:numPr>
      </w:pPr>
      <w:r w:rsidRPr="00BC250C">
        <w:t xml:space="preserve">Kennedy, Emmet, ‘Taste and revolution: (French theater history)’ in </w:t>
      </w:r>
      <w:r w:rsidRPr="00BC250C">
        <w:rPr>
          <w:i/>
        </w:rPr>
        <w:t>Canadian Journal of History,</w:t>
      </w:r>
      <w:r w:rsidRPr="00BC250C">
        <w:t xml:space="preserve"> (December 1, 1997), 1-17</w:t>
      </w:r>
      <w:r w:rsidR="00D06CF0">
        <w:t>.</w:t>
      </w:r>
      <w:r w:rsidR="00D06CF0">
        <w:br/>
      </w:r>
    </w:p>
    <w:p w:rsidR="00764FB2" w:rsidRDefault="00764FB2" w:rsidP="00764FB2">
      <w:pPr>
        <w:pStyle w:val="NoSpacing"/>
        <w:numPr>
          <w:ilvl w:val="0"/>
          <w:numId w:val="27"/>
        </w:numPr>
      </w:pPr>
      <w:r>
        <w:t xml:space="preserve">Krakeur, Lester Gilbert, ‘A Forgotten Participant in the Attack on the Convent: Madame de Genlis’ in </w:t>
      </w:r>
      <w:r>
        <w:rPr>
          <w:i/>
        </w:rPr>
        <w:t>Modern Language Notes,</w:t>
      </w:r>
      <w:r>
        <w:t xml:space="preserve"> Vol.52, No.2, (February, 1937), 89-95</w:t>
      </w:r>
      <w:r w:rsidR="00D06CF0">
        <w:t>.</w:t>
      </w:r>
      <w:r w:rsidR="00D06CF0">
        <w:br/>
      </w:r>
    </w:p>
    <w:p w:rsidR="00764FB2" w:rsidRPr="00BC250C" w:rsidRDefault="00764FB2" w:rsidP="00764FB2">
      <w:pPr>
        <w:pStyle w:val="NoSpacing"/>
        <w:numPr>
          <w:ilvl w:val="0"/>
          <w:numId w:val="27"/>
        </w:numPr>
      </w:pPr>
      <w:r w:rsidRPr="00BC250C">
        <w:t>Lucas, Colin</w:t>
      </w:r>
      <w:r>
        <w:t>,</w:t>
      </w:r>
      <w:r w:rsidRPr="00BC250C">
        <w:t xml:space="preserve"> </w:t>
      </w:r>
      <w:r w:rsidRPr="00BC250C">
        <w:rPr>
          <w:i/>
        </w:rPr>
        <w:t xml:space="preserve">The French Revolution and the Creation of Modern Political Culture: Volume 2, The Political Culture of the French </w:t>
      </w:r>
      <w:r w:rsidR="00545716" w:rsidRPr="00BC250C">
        <w:rPr>
          <w:i/>
        </w:rPr>
        <w:t>Revolution</w:t>
      </w:r>
      <w:r w:rsidRPr="00BC250C">
        <w:rPr>
          <w:i/>
        </w:rPr>
        <w:t>,</w:t>
      </w:r>
      <w:r w:rsidRPr="00BC250C">
        <w:t xml:space="preserve"> (Oxford: Pegamon Press, 1988)</w:t>
      </w:r>
      <w:r w:rsidR="00D06CF0">
        <w:t>.</w:t>
      </w:r>
      <w:r w:rsidR="00D06CF0">
        <w:br/>
      </w:r>
    </w:p>
    <w:p w:rsidR="00D06CF0" w:rsidRPr="00D06CF0" w:rsidRDefault="007861A8" w:rsidP="00D06CF0">
      <w:pPr>
        <w:pStyle w:val="NoSpacing"/>
        <w:numPr>
          <w:ilvl w:val="0"/>
          <w:numId w:val="27"/>
        </w:numPr>
        <w:rPr>
          <w:lang w:val="fr-FR"/>
        </w:rPr>
      </w:pPr>
      <w:r w:rsidRPr="00764FB2">
        <w:rPr>
          <w:lang w:val="fr-FR"/>
        </w:rPr>
        <w:t>Marchand, Sophie, ‘</w:t>
      </w:r>
      <w:r w:rsidRPr="00764FB2">
        <w:rPr>
          <w:i/>
          <w:lang w:val="fr-FR"/>
        </w:rPr>
        <w:t>Représenter la clau</w:t>
      </w:r>
      <w:r>
        <w:rPr>
          <w:i/>
          <w:lang w:val="fr-FR"/>
        </w:rPr>
        <w:t xml:space="preserve">stration : les décors de couvents, entre idéologie et </w:t>
      </w:r>
      <w:r w:rsidRPr="00764FB2">
        <w:rPr>
          <w:i/>
          <w:lang w:val="fr-FR"/>
        </w:rPr>
        <w:t>scénographie</w:t>
      </w:r>
      <w:r w:rsidRPr="00764FB2">
        <w:rPr>
          <w:lang w:val="fr-FR"/>
        </w:rPr>
        <w:t>’</w:t>
      </w:r>
      <w:r>
        <w:rPr>
          <w:lang w:val="fr-FR"/>
        </w:rPr>
        <w:t xml:space="preserve"> in </w:t>
      </w:r>
      <w:r w:rsidRPr="00764FB2">
        <w:rPr>
          <w:lang w:val="fr-FR"/>
        </w:rPr>
        <w:t>Bourdin, Philippe and Le Borgne, François</w:t>
      </w:r>
      <w:r>
        <w:rPr>
          <w:lang w:val="fr-FR"/>
        </w:rPr>
        <w:t xml:space="preserve"> (eds.)</w:t>
      </w:r>
      <w:r w:rsidRPr="00764FB2">
        <w:rPr>
          <w:lang w:val="fr-FR"/>
        </w:rPr>
        <w:t xml:space="preserve">, </w:t>
      </w:r>
      <w:r>
        <w:rPr>
          <w:i/>
          <w:lang w:val="fr-FR"/>
        </w:rPr>
        <w:t xml:space="preserve">Costumes, Décors et Accessoires dans le théâtre de la Révolution et de l’Empire, </w:t>
      </w:r>
      <w:r>
        <w:rPr>
          <w:lang w:val="fr-FR"/>
        </w:rPr>
        <w:t xml:space="preserve">(Clermont-Ferrand: Presse </w:t>
      </w:r>
      <w:r w:rsidRPr="002D2031">
        <w:rPr>
          <w:lang w:val="fr-FR"/>
        </w:rPr>
        <w:t>Universitaires Blaise Pascal, 2010)</w:t>
      </w:r>
      <w:r w:rsidR="00027B7F">
        <w:rPr>
          <w:lang w:val="fr-FR"/>
        </w:rPr>
        <w:t>, 41-55</w:t>
      </w:r>
      <w:r w:rsidR="00D06CF0">
        <w:rPr>
          <w:lang w:val="fr-FR"/>
        </w:rPr>
        <w:t>.</w:t>
      </w:r>
      <w:r w:rsidR="00D06CF0">
        <w:rPr>
          <w:lang w:val="fr-FR"/>
        </w:rPr>
        <w:br/>
      </w:r>
    </w:p>
    <w:p w:rsidR="00203199" w:rsidRPr="00BC250C" w:rsidRDefault="00203199" w:rsidP="00203199">
      <w:pPr>
        <w:pStyle w:val="NoSpacing"/>
        <w:numPr>
          <w:ilvl w:val="0"/>
          <w:numId w:val="27"/>
        </w:numPr>
      </w:pPr>
      <w:r w:rsidRPr="002D2031">
        <w:t>Maslan,</w:t>
      </w:r>
      <w:r w:rsidR="007D5EED" w:rsidRPr="002D2031">
        <w:t xml:space="preserve"> Susan,</w:t>
      </w:r>
      <w:r w:rsidRPr="002D2031">
        <w:t xml:space="preserve"> </w:t>
      </w:r>
      <w:r w:rsidR="007D5EED" w:rsidRPr="002D2031">
        <w:rPr>
          <w:i/>
        </w:rPr>
        <w:t>Revolutionary Acts</w:t>
      </w:r>
      <w:r w:rsidR="007D5EED">
        <w:rPr>
          <w:i/>
        </w:rPr>
        <w:t>: Theater, Democracy and the French Revolution</w:t>
      </w:r>
      <w:r w:rsidR="007D5EED">
        <w:t>, (Baltimore, The John Hopkins University Press, 2005)</w:t>
      </w:r>
      <w:r w:rsidR="00D06CF0">
        <w:t>.</w:t>
      </w:r>
      <w:r w:rsidR="00D06CF0">
        <w:br/>
      </w:r>
    </w:p>
    <w:p w:rsidR="00B87ECB" w:rsidRDefault="00B87ECB" w:rsidP="00203199">
      <w:pPr>
        <w:pStyle w:val="NoSpacing"/>
        <w:numPr>
          <w:ilvl w:val="0"/>
          <w:numId w:val="27"/>
        </w:numPr>
      </w:pPr>
      <w:r w:rsidRPr="00B87ECB">
        <w:t>Mason, James Frederick</w:t>
      </w:r>
      <w:r>
        <w:t>,</w:t>
      </w:r>
      <w:r w:rsidRPr="00B87ECB">
        <w:t xml:space="preserve"> </w:t>
      </w:r>
      <w:r w:rsidRPr="00B87ECB">
        <w:rPr>
          <w:i/>
        </w:rPr>
        <w:t>The Melodrama in France from the Revolution to the Beginning of Romantic Drama, 1791-1830,</w:t>
      </w:r>
      <w:r>
        <w:t xml:space="preserve"> (Baltimore: J. H. Furst Company, 1912).</w:t>
      </w:r>
    </w:p>
    <w:p w:rsidR="00203199" w:rsidRDefault="00203199" w:rsidP="00203199">
      <w:pPr>
        <w:pStyle w:val="NoSpacing"/>
        <w:numPr>
          <w:ilvl w:val="0"/>
          <w:numId w:val="27"/>
        </w:numPr>
      </w:pPr>
      <w:r w:rsidRPr="00BC250C">
        <w:t>Melser, Sara E. and Rabine, Leslie W.</w:t>
      </w:r>
      <w:r w:rsidR="00D06CF0">
        <w:t xml:space="preserve"> </w:t>
      </w:r>
      <w:r w:rsidR="007861A8">
        <w:t>(eds.)</w:t>
      </w:r>
      <w:r w:rsidRPr="00BC250C">
        <w:t xml:space="preserve">, </w:t>
      </w:r>
      <w:r w:rsidRPr="00BC250C">
        <w:rPr>
          <w:i/>
        </w:rPr>
        <w:t>Rebel Daughters: Women and the French Revolution</w:t>
      </w:r>
      <w:r w:rsidRPr="00BC250C">
        <w:t>, (New York: Oxford University Press, 1992)</w:t>
      </w:r>
      <w:r w:rsidR="00D06CF0">
        <w:t>.</w:t>
      </w:r>
      <w:r w:rsidR="00D06CF0">
        <w:br/>
      </w:r>
    </w:p>
    <w:p w:rsidR="00203199" w:rsidRDefault="00203199" w:rsidP="00203199">
      <w:pPr>
        <w:pStyle w:val="NoSpacing"/>
        <w:numPr>
          <w:ilvl w:val="0"/>
          <w:numId w:val="27"/>
        </w:numPr>
        <w:rPr>
          <w:lang w:val="fr-FR"/>
        </w:rPr>
      </w:pPr>
      <w:r w:rsidRPr="002D2031">
        <w:rPr>
          <w:lang w:val="fr-FR"/>
        </w:rPr>
        <w:t xml:space="preserve">Moland, Louis, ‘Introduction’, in </w:t>
      </w:r>
      <w:r w:rsidR="002D2031" w:rsidRPr="002D2031">
        <w:rPr>
          <w:i/>
          <w:lang w:val="fr-FR"/>
        </w:rPr>
        <w:t>Théâtre</w:t>
      </w:r>
      <w:r w:rsidRPr="002D2031">
        <w:rPr>
          <w:i/>
          <w:lang w:val="fr-FR"/>
        </w:rPr>
        <w:t xml:space="preserve"> de la Révolution ou choix de </w:t>
      </w:r>
      <w:r w:rsidR="002D2031" w:rsidRPr="002D2031">
        <w:rPr>
          <w:i/>
          <w:lang w:val="fr-FR"/>
        </w:rPr>
        <w:t>pièces</w:t>
      </w:r>
      <w:r w:rsidRPr="002D2031">
        <w:rPr>
          <w:i/>
          <w:lang w:val="fr-FR"/>
        </w:rPr>
        <w:t xml:space="preserve"> de </w:t>
      </w:r>
      <w:r w:rsidR="002D2031" w:rsidRPr="002D2031">
        <w:rPr>
          <w:i/>
          <w:lang w:val="fr-FR"/>
        </w:rPr>
        <w:t>théâtre</w:t>
      </w:r>
      <w:r w:rsidRPr="002D2031">
        <w:rPr>
          <w:i/>
          <w:lang w:val="fr-FR"/>
        </w:rPr>
        <w:t xml:space="preserve"> qui on fait sensation pendant la </w:t>
      </w:r>
      <w:r w:rsidR="002D2031" w:rsidRPr="002D2031">
        <w:rPr>
          <w:i/>
          <w:lang w:val="fr-FR"/>
        </w:rPr>
        <w:t>pério</w:t>
      </w:r>
      <w:r w:rsidR="002D2031" w:rsidRPr="00BC250C">
        <w:rPr>
          <w:i/>
          <w:lang w:val="fr-FR"/>
        </w:rPr>
        <w:t>de</w:t>
      </w:r>
      <w:r w:rsidRPr="00BC250C">
        <w:rPr>
          <w:i/>
          <w:lang w:val="fr-FR"/>
        </w:rPr>
        <w:t xml:space="preserve"> r</w:t>
      </w:r>
      <w:r w:rsidR="002D2031">
        <w:rPr>
          <w:i/>
          <w:lang w:val="fr-FR"/>
        </w:rPr>
        <w:t>é</w:t>
      </w:r>
      <w:r w:rsidRPr="00BC250C">
        <w:rPr>
          <w:i/>
          <w:lang w:val="fr-FR"/>
        </w:rPr>
        <w:t>volutionnaire,</w:t>
      </w:r>
      <w:r w:rsidRPr="00BC250C">
        <w:rPr>
          <w:lang w:val="fr-FR"/>
        </w:rPr>
        <w:t xml:space="preserve"> Garnier </w:t>
      </w:r>
      <w:r w:rsidR="002D2031" w:rsidRPr="00BC250C">
        <w:rPr>
          <w:lang w:val="fr-FR"/>
        </w:rPr>
        <w:t>Frères</w:t>
      </w:r>
      <w:r w:rsidRPr="00BC250C">
        <w:rPr>
          <w:lang w:val="fr-FR"/>
        </w:rPr>
        <w:t>, Paris, 1877</w:t>
      </w:r>
    </w:p>
    <w:p w:rsidR="00764FB2" w:rsidRDefault="00764FB2" w:rsidP="00764FB2">
      <w:pPr>
        <w:pStyle w:val="NoSpacing"/>
        <w:numPr>
          <w:ilvl w:val="0"/>
          <w:numId w:val="27"/>
        </w:numPr>
      </w:pPr>
      <w:r>
        <w:t>Montfort, Catherine R. (ed.),</w:t>
      </w:r>
      <w:r>
        <w:rPr>
          <w:i/>
        </w:rPr>
        <w:t xml:space="preserve"> Literate Women and the French Revolution of 1789,</w:t>
      </w:r>
      <w:r>
        <w:t xml:space="preserve"> (Birmingham, Alabama: Summa, 1994)</w:t>
      </w:r>
      <w:r w:rsidR="00D06CF0">
        <w:t>.</w:t>
      </w:r>
      <w:r w:rsidR="00D06CF0">
        <w:br/>
      </w:r>
    </w:p>
    <w:p w:rsidR="00203199" w:rsidRPr="00BC250C" w:rsidRDefault="00203199" w:rsidP="00203199">
      <w:pPr>
        <w:pStyle w:val="NoSpacing"/>
        <w:numPr>
          <w:ilvl w:val="0"/>
          <w:numId w:val="27"/>
        </w:numPr>
      </w:pPr>
      <w:r w:rsidRPr="00BC250C">
        <w:t>Outram, Dorinda, ‘</w:t>
      </w:r>
      <w:r w:rsidRPr="00BC250C">
        <w:rPr>
          <w:i/>
        </w:rPr>
        <w:t>Le Langage M</w:t>
      </w:r>
      <w:r w:rsidRPr="00BC250C">
        <w:rPr>
          <w:rFonts w:cs="Times New Roman"/>
          <w:i/>
        </w:rPr>
        <w:t>â</w:t>
      </w:r>
      <w:r w:rsidRPr="00BC250C">
        <w:rPr>
          <w:i/>
        </w:rPr>
        <w:t>le de la Vertu:</w:t>
      </w:r>
      <w:r w:rsidRPr="00BC250C">
        <w:t xml:space="preserve"> Women and the Discourse of the French Revolution,’ in eds. Peter Burke and Roy Porter, </w:t>
      </w:r>
      <w:r w:rsidRPr="00BC250C">
        <w:rPr>
          <w:i/>
        </w:rPr>
        <w:t>The Social History of Language,</w:t>
      </w:r>
      <w:r w:rsidRPr="00BC250C">
        <w:t xml:space="preserve"> (Cambridge: Cambridge University Press, 1987)</w:t>
      </w:r>
      <w:r w:rsidR="00D06CF0">
        <w:t>.</w:t>
      </w:r>
      <w:r w:rsidR="00D06CF0">
        <w:br/>
      </w:r>
    </w:p>
    <w:p w:rsidR="00203199" w:rsidRDefault="00203199" w:rsidP="00203199">
      <w:pPr>
        <w:pStyle w:val="NoSpacing"/>
        <w:numPr>
          <w:ilvl w:val="0"/>
          <w:numId w:val="27"/>
        </w:numPr>
      </w:pPr>
      <w:r w:rsidRPr="00BC250C">
        <w:t xml:space="preserve">Rivers, Christopher, ‘Safe Sex: The Prophylatic Walls of the Cloister in the French Libertine Convent Novel of the Eighteenth Century’ in </w:t>
      </w:r>
      <w:r w:rsidRPr="00BC250C">
        <w:rPr>
          <w:i/>
        </w:rPr>
        <w:t xml:space="preserve">Journal of the History of Sexuality, </w:t>
      </w:r>
      <w:r w:rsidRPr="00BC250C">
        <w:t>Vol. 5, No. 3 (January, 1995), 381-402</w:t>
      </w:r>
      <w:r w:rsidR="00D06CF0">
        <w:t>.</w:t>
      </w:r>
    </w:p>
    <w:p w:rsidR="00203199" w:rsidRDefault="00203199" w:rsidP="00203199">
      <w:pPr>
        <w:pStyle w:val="NoSpacing"/>
        <w:numPr>
          <w:ilvl w:val="0"/>
          <w:numId w:val="27"/>
        </w:numPr>
      </w:pPr>
      <w:r w:rsidRPr="00BC250C">
        <w:t xml:space="preserve">Rodmell, Graham E., </w:t>
      </w:r>
      <w:r w:rsidRPr="00BC250C">
        <w:rPr>
          <w:i/>
        </w:rPr>
        <w:t xml:space="preserve">French Drama of the Revolutionary Years, </w:t>
      </w:r>
      <w:r w:rsidR="00D06CF0">
        <w:t>(New York: Routledge, 1990).</w:t>
      </w:r>
      <w:r w:rsidR="00D06CF0">
        <w:br/>
      </w:r>
    </w:p>
    <w:p w:rsidR="00810091" w:rsidRDefault="00810091" w:rsidP="00203199">
      <w:pPr>
        <w:pStyle w:val="NoSpacing"/>
        <w:numPr>
          <w:ilvl w:val="0"/>
          <w:numId w:val="27"/>
        </w:numPr>
      </w:pPr>
      <w:r w:rsidRPr="00810091">
        <w:t>Roulston,</w:t>
      </w:r>
      <w:r>
        <w:t xml:space="preserve"> Christine,</w:t>
      </w:r>
      <w:r w:rsidRPr="00810091">
        <w:t xml:space="preserve"> ‘Separating the Inseparables: Female Friendship and Its Discontents</w:t>
      </w:r>
      <w:r>
        <w:t xml:space="preserve"> in Eighteenth-Century France’, in </w:t>
      </w:r>
      <w:r>
        <w:rPr>
          <w:i/>
        </w:rPr>
        <w:t>Eighteenth-Century Studies,</w:t>
      </w:r>
      <w:r>
        <w:t xml:space="preserve"> Volume 32, Number 2, (1998-99) 215-231</w:t>
      </w:r>
      <w:r w:rsidR="00D06CF0">
        <w:t>.</w:t>
      </w:r>
      <w:r w:rsidR="00D06CF0">
        <w:br/>
      </w:r>
    </w:p>
    <w:p w:rsidR="00203199" w:rsidRDefault="00203199" w:rsidP="00203199">
      <w:pPr>
        <w:pStyle w:val="NoSpacing"/>
        <w:numPr>
          <w:ilvl w:val="0"/>
          <w:numId w:val="27"/>
        </w:numPr>
      </w:pPr>
      <w:r w:rsidRPr="00BC250C">
        <w:t xml:space="preserve">Strasser, Ulrike, ‘The Cloister as Membrane: Recent Convent History and the Circulation of People and Ideas’ in </w:t>
      </w:r>
      <w:r w:rsidRPr="00BC250C">
        <w:rPr>
          <w:i/>
        </w:rPr>
        <w:t xml:space="preserve">Gender &amp; History, </w:t>
      </w:r>
      <w:r w:rsidRPr="00BC250C">
        <w:t>Vol. 19, No. 2, (August 2007), 396-375</w:t>
      </w:r>
      <w:r w:rsidR="00D06CF0">
        <w:t>.</w:t>
      </w:r>
      <w:r w:rsidR="00D06CF0">
        <w:br/>
      </w:r>
    </w:p>
    <w:p w:rsidR="00203199" w:rsidRDefault="00203199" w:rsidP="00203199">
      <w:pPr>
        <w:pStyle w:val="NoSpacing"/>
        <w:numPr>
          <w:ilvl w:val="0"/>
          <w:numId w:val="27"/>
        </w:numPr>
      </w:pPr>
      <w:r w:rsidRPr="00BC250C">
        <w:t xml:space="preserve">Vanpée, Janie, ‘Perfoming Justice: The Trials of Olympe de Gouges’, </w:t>
      </w:r>
      <w:r w:rsidRPr="00BC250C">
        <w:rPr>
          <w:i/>
        </w:rPr>
        <w:t xml:space="preserve">Theatre Journal, </w:t>
      </w:r>
      <w:r w:rsidRPr="00BC250C">
        <w:t>Vol. 51, No. 1, Women, Nations, Households, and History (March, 1999), 47-65</w:t>
      </w:r>
      <w:r w:rsidR="00D06CF0">
        <w:t>.</w:t>
      </w:r>
      <w:r w:rsidR="00D06CF0">
        <w:br/>
      </w:r>
    </w:p>
    <w:p w:rsidR="00203199" w:rsidRDefault="00203199" w:rsidP="00203199">
      <w:pPr>
        <w:pStyle w:val="NoSpacing"/>
        <w:numPr>
          <w:ilvl w:val="0"/>
          <w:numId w:val="27"/>
        </w:numPr>
      </w:pPr>
      <w:r w:rsidRPr="00BC250C">
        <w:t xml:space="preserve">Walker, Claire, ‘“Going against some forcible wind”: Writing and Reform in Medieval and Early Modern Convents,’ in </w:t>
      </w:r>
      <w:r w:rsidRPr="00BC250C">
        <w:rPr>
          <w:i/>
        </w:rPr>
        <w:t>Journal of Women’s History,</w:t>
      </w:r>
      <w:r w:rsidRPr="00BC250C">
        <w:t xml:space="preserve"> Vol. 21, No. 1, (Spring 2009), 135-144</w:t>
      </w:r>
      <w:r w:rsidR="00D06CF0">
        <w:t>.</w:t>
      </w:r>
      <w:r w:rsidR="00D06CF0">
        <w:br/>
      </w:r>
    </w:p>
    <w:p w:rsidR="00203199" w:rsidRPr="002D2031" w:rsidRDefault="00203199" w:rsidP="007861A8">
      <w:pPr>
        <w:pStyle w:val="NoSpacing"/>
      </w:pPr>
    </w:p>
    <w:p w:rsidR="00203199" w:rsidRDefault="00FB235C" w:rsidP="00203199">
      <w:pPr>
        <w:pStyle w:val="NoSpacing"/>
        <w:rPr>
          <w:b/>
        </w:rPr>
      </w:pPr>
      <w:r w:rsidRPr="00203199">
        <w:rPr>
          <w:b/>
        </w:rPr>
        <w:t>Websites</w:t>
      </w:r>
    </w:p>
    <w:p w:rsidR="00203199" w:rsidRPr="00203199" w:rsidRDefault="00203199" w:rsidP="00203199">
      <w:pPr>
        <w:pStyle w:val="NoSpacing"/>
        <w:rPr>
          <w:b/>
        </w:rPr>
      </w:pPr>
    </w:p>
    <w:p w:rsidR="00435117" w:rsidRDefault="00435117" w:rsidP="00203199">
      <w:pPr>
        <w:pStyle w:val="NoSpacing"/>
        <w:numPr>
          <w:ilvl w:val="0"/>
          <w:numId w:val="27"/>
        </w:numPr>
        <w:rPr>
          <w:rFonts w:cs="Times New Roman"/>
          <w:lang w:val="fr-FR"/>
        </w:rPr>
      </w:pPr>
      <w:r w:rsidRPr="00937049">
        <w:rPr>
          <w:rFonts w:cs="Times New Roman"/>
          <w:lang w:val="fr-FR"/>
        </w:rPr>
        <w:t xml:space="preserve">Calendrier électronique des spectacles sous l’ancien </w:t>
      </w:r>
      <w:r w:rsidR="00545716" w:rsidRPr="00937049">
        <w:rPr>
          <w:rFonts w:cs="Times New Roman"/>
          <w:lang w:val="fr-FR"/>
        </w:rPr>
        <w:t>régime</w:t>
      </w:r>
      <w:r w:rsidRPr="00937049">
        <w:rPr>
          <w:rFonts w:cs="Times New Roman"/>
          <w:lang w:val="fr-FR"/>
        </w:rPr>
        <w:t xml:space="preserve"> et sous la </w:t>
      </w:r>
      <w:r w:rsidR="00545716">
        <w:rPr>
          <w:rFonts w:cs="Times New Roman"/>
          <w:lang w:val="fr-FR"/>
        </w:rPr>
        <w:t>révolution</w:t>
      </w:r>
      <w:r>
        <w:rPr>
          <w:rFonts w:cs="Times New Roman"/>
          <w:lang w:val="fr-FR"/>
        </w:rPr>
        <w:t xml:space="preserve">, at </w:t>
      </w:r>
      <w:hyperlink r:id="rId9" w:history="1">
        <w:r w:rsidRPr="002D2031">
          <w:rPr>
            <w:rStyle w:val="Hyperlink"/>
            <w:rFonts w:cs="Times New Roman"/>
            <w:color w:val="365F91" w:themeColor="accent1" w:themeShade="BF"/>
            <w:lang w:val="fr-FR"/>
          </w:rPr>
          <w:t>http://www.cesar.org.uk/cesar2/home.php</w:t>
        </w:r>
      </w:hyperlink>
      <w:r>
        <w:rPr>
          <w:rFonts w:cs="Times New Roman"/>
          <w:lang w:val="fr-FR"/>
        </w:rPr>
        <w:t>, consulted on 30/12/2010</w:t>
      </w:r>
      <w:r w:rsidR="00D06CF0">
        <w:rPr>
          <w:rFonts w:cs="Times New Roman"/>
          <w:lang w:val="fr-FR"/>
        </w:rPr>
        <w:t>.</w:t>
      </w:r>
      <w:r w:rsidR="00D06CF0">
        <w:rPr>
          <w:rFonts w:cs="Times New Roman"/>
          <w:lang w:val="fr-FR"/>
        </w:rPr>
        <w:br/>
      </w:r>
    </w:p>
    <w:p w:rsidR="00435117" w:rsidRPr="00D06CF0" w:rsidRDefault="00435117" w:rsidP="00203199">
      <w:pPr>
        <w:pStyle w:val="NoSpacing"/>
        <w:numPr>
          <w:ilvl w:val="0"/>
          <w:numId w:val="27"/>
        </w:numPr>
        <w:rPr>
          <w:rFonts w:cs="Times New Roman"/>
        </w:rPr>
      </w:pPr>
      <w:r w:rsidRPr="00D06CF0">
        <w:rPr>
          <w:rFonts w:cs="Times New Roman"/>
        </w:rPr>
        <w:t xml:space="preserve">The Oxford English Dictionary, </w:t>
      </w:r>
      <w:hyperlink r:id="rId10" w:history="1">
        <w:r w:rsidRPr="00D06CF0">
          <w:rPr>
            <w:rStyle w:val="Hyperlink"/>
            <w:rFonts w:cs="Times New Roman"/>
            <w:color w:val="365F91" w:themeColor="accent1" w:themeShade="BF"/>
          </w:rPr>
          <w:t>http://www.oed.com</w:t>
        </w:r>
      </w:hyperlink>
      <w:r w:rsidRPr="00D06CF0">
        <w:rPr>
          <w:rFonts w:cs="Times New Roman"/>
        </w:rPr>
        <w:t>, consulted on 28/12/2010</w:t>
      </w:r>
      <w:r w:rsidR="00D06CF0" w:rsidRPr="00D06CF0">
        <w:rPr>
          <w:rFonts w:cs="Times New Roman"/>
        </w:rPr>
        <w:t>.</w:t>
      </w:r>
      <w:r w:rsidR="00D06CF0" w:rsidRPr="00D06CF0">
        <w:rPr>
          <w:rFonts w:cs="Times New Roman"/>
        </w:rPr>
        <w:br/>
      </w:r>
    </w:p>
    <w:p w:rsidR="00435117" w:rsidRDefault="00435117" w:rsidP="00203199">
      <w:pPr>
        <w:pStyle w:val="NoSpacing"/>
        <w:numPr>
          <w:ilvl w:val="0"/>
          <w:numId w:val="27"/>
        </w:numPr>
        <w:rPr>
          <w:rFonts w:cs="Times New Roman"/>
        </w:rPr>
      </w:pPr>
      <w:r w:rsidRPr="00D06CF0">
        <w:rPr>
          <w:rFonts w:cs="Times New Roman"/>
        </w:rPr>
        <w:t>Patrick D. Murph</w:t>
      </w:r>
      <w:r w:rsidRPr="00937049">
        <w:rPr>
          <w:rFonts w:cs="Times New Roman"/>
        </w:rPr>
        <w:t xml:space="preserve">ree, ‘The Spectacle of the Cloister in French Revolutionary Drama,’ at </w:t>
      </w:r>
      <w:hyperlink r:id="rId11" w:history="1">
        <w:r w:rsidRPr="002D2031">
          <w:rPr>
            <w:rStyle w:val="Hyperlink"/>
            <w:rFonts w:cs="Times New Roman"/>
            <w:color w:val="365F91" w:themeColor="accent1" w:themeShade="BF"/>
          </w:rPr>
          <w:t>http://www.cesar.org.uk/cesar2/conferences/cesar_conference_2006/Murphree_paper06.html</w:t>
        </w:r>
      </w:hyperlink>
      <w:r w:rsidRPr="00937049">
        <w:rPr>
          <w:rFonts w:cs="Times New Roman"/>
        </w:rPr>
        <w:t>, consulted on 15/01/2011</w:t>
      </w:r>
      <w:r w:rsidR="00D06CF0">
        <w:rPr>
          <w:rFonts w:cs="Times New Roman"/>
        </w:rPr>
        <w:t>.</w:t>
      </w:r>
      <w:r w:rsidR="00D06CF0">
        <w:rPr>
          <w:rFonts w:cs="Times New Roman"/>
        </w:rPr>
        <w:br/>
      </w:r>
    </w:p>
    <w:p w:rsidR="00435117" w:rsidRPr="00435117" w:rsidRDefault="00435117" w:rsidP="00203199">
      <w:pPr>
        <w:pStyle w:val="NoSpacing"/>
        <w:numPr>
          <w:ilvl w:val="0"/>
          <w:numId w:val="27"/>
        </w:numPr>
        <w:rPr>
          <w:rStyle w:val="apple-style-span"/>
          <w:rFonts w:cs="Times New Roman"/>
        </w:rPr>
      </w:pPr>
      <w:r>
        <w:rPr>
          <w:rFonts w:cs="Times New Roman"/>
        </w:rPr>
        <w:t>Peter, Roger, ‘</w:t>
      </w:r>
      <w:r>
        <w:rPr>
          <w:rFonts w:cs="Times New Roman"/>
          <w:i/>
        </w:rPr>
        <w:t xml:space="preserve">La vie </w:t>
      </w:r>
      <w:r w:rsidRPr="00435117">
        <w:rPr>
          <w:rFonts w:cs="Times New Roman"/>
          <w:i/>
        </w:rPr>
        <w:t>conventuelle</w:t>
      </w:r>
      <w:r>
        <w:rPr>
          <w:rFonts w:cs="Times New Roman"/>
        </w:rPr>
        <w:t>’</w:t>
      </w:r>
      <w:r>
        <w:rPr>
          <w:rFonts w:cs="Times New Roman"/>
          <w:i/>
        </w:rPr>
        <w:t xml:space="preserve"> </w:t>
      </w:r>
      <w:r>
        <w:rPr>
          <w:rFonts w:cs="Times New Roman"/>
        </w:rPr>
        <w:t>(collection of convent play transcriptions)</w:t>
      </w:r>
      <w:r w:rsidRPr="00435117">
        <w:rPr>
          <w:rFonts w:cs="Times New Roman"/>
        </w:rPr>
        <w:t xml:space="preserve"> at </w:t>
      </w:r>
      <w:hyperlink r:id="rId12" w:anchor="TRANS" w:history="1">
        <w:r w:rsidRPr="002D2031">
          <w:rPr>
            <w:rStyle w:val="Hyperlink"/>
            <w:rFonts w:cs="Times New Roman"/>
            <w:color w:val="365F91" w:themeColor="accent1" w:themeShade="BF"/>
          </w:rPr>
          <w:t>http://www.wissensdrang.com/#TRANS</w:t>
        </w:r>
      </w:hyperlink>
      <w:r>
        <w:rPr>
          <w:rFonts w:cs="Times New Roman"/>
        </w:rPr>
        <w:t>, consulted on 16/12/2010</w:t>
      </w:r>
      <w:r w:rsidR="00D06CF0">
        <w:rPr>
          <w:rFonts w:cs="Times New Roman"/>
        </w:rPr>
        <w:t>.</w:t>
      </w:r>
      <w:r w:rsidR="00D06CF0">
        <w:rPr>
          <w:rFonts w:cs="Times New Roman"/>
        </w:rPr>
        <w:br/>
      </w:r>
    </w:p>
    <w:p w:rsidR="00FB235C" w:rsidRPr="00937049" w:rsidRDefault="00937049" w:rsidP="00203199">
      <w:pPr>
        <w:pStyle w:val="NoSpacing"/>
        <w:numPr>
          <w:ilvl w:val="0"/>
          <w:numId w:val="27"/>
        </w:numPr>
      </w:pPr>
      <w:r w:rsidRPr="00937049">
        <w:t xml:space="preserve">The University of </w:t>
      </w:r>
      <w:r w:rsidR="00FB235C" w:rsidRPr="00937049">
        <w:t>Warwick Marandet Collection</w:t>
      </w:r>
      <w:r>
        <w:t xml:space="preserve">, </w:t>
      </w:r>
      <w:r w:rsidR="00435117">
        <w:t xml:space="preserve">at </w:t>
      </w:r>
      <w:hyperlink r:id="rId13" w:history="1">
        <w:r w:rsidR="00435117" w:rsidRPr="002D2031">
          <w:rPr>
            <w:rStyle w:val="Hyperlink"/>
            <w:color w:val="365F91" w:themeColor="accent1" w:themeShade="BF"/>
          </w:rPr>
          <w:t>http://contentdm.warwick.ac.uk/cdm4/browse.php</w:t>
        </w:r>
      </w:hyperlink>
      <w:r w:rsidR="00D06CF0">
        <w:t>, consulted on 10/12/2010.</w:t>
      </w:r>
      <w:r w:rsidR="00D06CF0">
        <w:br/>
      </w:r>
    </w:p>
    <w:p w:rsidR="00AC70A9" w:rsidRPr="00AC70A9" w:rsidRDefault="00435117" w:rsidP="00AC70A9">
      <w:pPr>
        <w:pStyle w:val="NoSpacing"/>
        <w:numPr>
          <w:ilvl w:val="0"/>
          <w:numId w:val="27"/>
        </w:numPr>
        <w:rPr>
          <w:rFonts w:cs="Times New Roman"/>
        </w:rPr>
      </w:pPr>
      <w:r>
        <w:rPr>
          <w:rFonts w:cs="Times New Roman"/>
        </w:rPr>
        <w:t xml:space="preserve">The </w:t>
      </w:r>
      <w:r w:rsidR="00937049" w:rsidRPr="00937049">
        <w:rPr>
          <w:rFonts w:cs="Times New Roman"/>
        </w:rPr>
        <w:t xml:space="preserve">University of California Santa Cruz, ‘Les Visitandines: a performance history’, at </w:t>
      </w:r>
      <w:hyperlink r:id="rId14" w:history="1">
        <w:r w:rsidR="00937049" w:rsidRPr="002D2031">
          <w:rPr>
            <w:rStyle w:val="Hyperlink"/>
            <w:rFonts w:cs="Times New Roman"/>
            <w:color w:val="365F91" w:themeColor="accent1" w:themeShade="BF"/>
          </w:rPr>
          <w:t>http://artsites.ucsc.edu/faculty/dudley/visitandines.html</w:t>
        </w:r>
      </w:hyperlink>
      <w:r w:rsidR="00D06CF0">
        <w:rPr>
          <w:rFonts w:cs="Times New Roman"/>
        </w:rPr>
        <w:t>, consulted on 30/12/2010.</w:t>
      </w:r>
      <w:r w:rsidR="00D06CF0">
        <w:rPr>
          <w:rFonts w:cs="Times New Roman"/>
        </w:rPr>
        <w:br/>
      </w:r>
    </w:p>
    <w:p w:rsidR="00435117" w:rsidRPr="00A516B1" w:rsidRDefault="00545716" w:rsidP="00A516B1">
      <w:pPr>
        <w:pStyle w:val="NoSpacing"/>
        <w:numPr>
          <w:ilvl w:val="0"/>
          <w:numId w:val="27"/>
        </w:numPr>
        <w:rPr>
          <w:rFonts w:cs="Times New Roman"/>
        </w:rPr>
      </w:pPr>
      <w:r w:rsidRPr="009C12AF">
        <w:rPr>
          <w:rFonts w:cs="Times New Roman"/>
          <w:color w:val="000000" w:themeColor="text1"/>
        </w:rPr>
        <w:t>Voltaire</w:t>
      </w:r>
      <w:r>
        <w:rPr>
          <w:rFonts w:cs="Times New Roman"/>
          <w:color w:val="000000" w:themeColor="text1"/>
        </w:rPr>
        <w:t>,</w:t>
      </w:r>
      <w:r w:rsidRPr="009C12AF">
        <w:rPr>
          <w:rFonts w:cs="Times New Roman"/>
          <w:color w:val="000000" w:themeColor="text1"/>
        </w:rPr>
        <w:t xml:space="preserve"> </w:t>
      </w:r>
      <w:r w:rsidRPr="009C12AF">
        <w:rPr>
          <w:rStyle w:val="apple-style-span"/>
          <w:rFonts w:cs="Times New Roman"/>
          <w:i/>
          <w:iCs/>
          <w:color w:val="000000"/>
        </w:rPr>
        <w:t>Déclaration de Voltaire,</w:t>
      </w:r>
      <w:r w:rsidRPr="009C12AF">
        <w:rPr>
          <w:rStyle w:val="apple-converted-space"/>
          <w:rFonts w:cs="Times New Roman"/>
          <w:color w:val="000000"/>
        </w:rPr>
        <w:t xml:space="preserve"> </w:t>
      </w:r>
      <w:r w:rsidRPr="009C12AF">
        <w:rPr>
          <w:rStyle w:val="apple-style-span"/>
          <w:rFonts w:cs="Times New Roman"/>
          <w:color w:val="000000"/>
        </w:rPr>
        <w:t xml:space="preserve">note to his secretary, Jean-Louis Wagnière, 28 February 1778, at </w:t>
      </w:r>
      <w:hyperlink r:id="rId15" w:history="1">
        <w:r w:rsidRPr="009C12AF">
          <w:rPr>
            <w:rStyle w:val="Hyperlink"/>
            <w:color w:val="365F91" w:themeColor="accent1" w:themeShade="BF"/>
          </w:rPr>
          <w:t>http://www.thecaveonline.com/APEH/voltairebiography.html</w:t>
        </w:r>
      </w:hyperlink>
      <w:r w:rsidRPr="009C12AF">
        <w:rPr>
          <w:rStyle w:val="apple-style-span"/>
          <w:color w:val="365F91" w:themeColor="accent1" w:themeShade="BF"/>
        </w:rPr>
        <w:t xml:space="preserve">, </w:t>
      </w:r>
      <w:r w:rsidRPr="009C12AF">
        <w:rPr>
          <w:rStyle w:val="apple-style-span"/>
          <w:color w:val="000000"/>
        </w:rPr>
        <w:t>consulted on 24 April 2011.</w:t>
      </w:r>
    </w:p>
    <w:sectPr w:rsidR="00435117" w:rsidRPr="00A516B1" w:rsidSect="00C10F99">
      <w:headerReference w:type="default" r:id="rId16"/>
      <w:pgSz w:w="11906" w:h="16838"/>
      <w:pgMar w:top="1440" w:right="1440" w:bottom="1440" w:left="226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7F2D" w:rsidRDefault="00A77F2D" w:rsidP="00541BD1">
      <w:pPr>
        <w:spacing w:after="0" w:line="240" w:lineRule="auto"/>
      </w:pPr>
      <w:r>
        <w:separator/>
      </w:r>
    </w:p>
  </w:endnote>
  <w:endnote w:type="continuationSeparator" w:id="0">
    <w:p w:rsidR="00A77F2D" w:rsidRDefault="00A77F2D" w:rsidP="00541B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7F2D" w:rsidRDefault="00A77F2D" w:rsidP="00541BD1">
      <w:pPr>
        <w:spacing w:after="0" w:line="240" w:lineRule="auto"/>
      </w:pPr>
      <w:r>
        <w:separator/>
      </w:r>
    </w:p>
  </w:footnote>
  <w:footnote w:type="continuationSeparator" w:id="0">
    <w:p w:rsidR="00A77F2D" w:rsidRDefault="00A77F2D" w:rsidP="00541BD1">
      <w:pPr>
        <w:spacing w:after="0" w:line="240" w:lineRule="auto"/>
      </w:pPr>
      <w:r>
        <w:continuationSeparator/>
      </w:r>
    </w:p>
  </w:footnote>
  <w:footnote w:id="1">
    <w:p w:rsidR="00FB6180" w:rsidRPr="00541BD1" w:rsidRDefault="00FB6180" w:rsidP="00541BD1">
      <w:pPr>
        <w:rPr>
          <w:lang w:val="fr-FR"/>
        </w:rPr>
      </w:pPr>
      <w:r>
        <w:rPr>
          <w:rStyle w:val="FootnoteReference"/>
        </w:rPr>
        <w:footnoteRef/>
      </w:r>
      <w:r w:rsidRPr="00541BD1">
        <w:rPr>
          <w:lang w:val="fr-FR"/>
        </w:rPr>
        <w:t xml:space="preserve"> </w:t>
      </w:r>
      <w:r w:rsidRPr="00270479">
        <w:rPr>
          <w:sz w:val="20"/>
          <w:szCs w:val="20"/>
          <w:lang w:val="fr-FR"/>
        </w:rPr>
        <w:t xml:space="preserve">Olympes de Gouges, </w:t>
      </w:r>
      <w:r w:rsidRPr="00270479">
        <w:rPr>
          <w:i/>
          <w:sz w:val="20"/>
          <w:szCs w:val="20"/>
          <w:lang w:val="fr-FR"/>
        </w:rPr>
        <w:t xml:space="preserve">Le Couvent ou les Vœux Forcés, </w:t>
      </w:r>
      <w:r w:rsidRPr="00270479">
        <w:rPr>
          <w:sz w:val="20"/>
          <w:szCs w:val="20"/>
          <w:lang w:val="fr-FR"/>
        </w:rPr>
        <w:t xml:space="preserve"> premi</w:t>
      </w:r>
      <w:r w:rsidRPr="00270479">
        <w:rPr>
          <w:rFonts w:cs="Times New Roman"/>
          <w:sz w:val="20"/>
          <w:szCs w:val="20"/>
          <w:lang w:val="fr-FR"/>
        </w:rPr>
        <w:t>è</w:t>
      </w:r>
      <w:r w:rsidRPr="00270479">
        <w:rPr>
          <w:sz w:val="20"/>
          <w:szCs w:val="20"/>
          <w:lang w:val="fr-FR"/>
        </w:rPr>
        <w:t xml:space="preserve">re le 21 octobre, 1790, </w:t>
      </w:r>
      <w:r w:rsidRPr="00270479">
        <w:rPr>
          <w:sz w:val="20"/>
          <w:szCs w:val="20"/>
          <w:lang w:val="fr-FR"/>
        </w:rPr>
        <w:br/>
        <w:t>(Acte II, Scène VII)</w:t>
      </w:r>
      <w:r>
        <w:rPr>
          <w:sz w:val="20"/>
          <w:szCs w:val="20"/>
          <w:lang w:val="fr-FR"/>
        </w:rPr>
        <w:t>.</w:t>
      </w:r>
    </w:p>
    <w:p w:rsidR="00FB6180" w:rsidRPr="00541BD1" w:rsidRDefault="00FB6180">
      <w:pPr>
        <w:pStyle w:val="FootnoteText"/>
        <w:rPr>
          <w:lang w:val="fr-FR"/>
        </w:rPr>
      </w:pPr>
    </w:p>
  </w:footnote>
  <w:footnote w:id="2">
    <w:p w:rsidR="00FB6180" w:rsidRDefault="00FB6180" w:rsidP="008D18D2">
      <w:pPr>
        <w:pStyle w:val="FootnoteText"/>
      </w:pPr>
      <w:r>
        <w:rPr>
          <w:rStyle w:val="FootnoteReference"/>
        </w:rPr>
        <w:footnoteRef/>
      </w:r>
      <w:r>
        <w:t xml:space="preserve"> Beatrice F. </w:t>
      </w:r>
      <w:r w:rsidR="00843D65">
        <w:t>visitan</w:t>
      </w:r>
      <w:r>
        <w:t xml:space="preserve">, ‘The Theater during a Crisis: the Parisian Theater during the Reign of Terror’ in </w:t>
      </w:r>
      <w:r>
        <w:rPr>
          <w:i/>
        </w:rPr>
        <w:t xml:space="preserve">The Journal of Modern History, </w:t>
      </w:r>
      <w:r>
        <w:t>Vol. 17, No. 4 (December 1945), 332-355, p. 332.</w:t>
      </w:r>
    </w:p>
  </w:footnote>
  <w:footnote w:id="3">
    <w:p w:rsidR="00FB6180" w:rsidRDefault="00FB6180" w:rsidP="00384A43">
      <w:pPr>
        <w:pStyle w:val="FootnoteText"/>
      </w:pPr>
      <w:r>
        <w:rPr>
          <w:rStyle w:val="FootnoteReference"/>
        </w:rPr>
        <w:footnoteRef/>
      </w:r>
      <w:r>
        <w:t xml:space="preserve"> Graham E. Rodmell, </w:t>
      </w:r>
      <w:r>
        <w:rPr>
          <w:i/>
        </w:rPr>
        <w:t xml:space="preserve">French Drama of the Revolutionary Years, </w:t>
      </w:r>
      <w:r>
        <w:t xml:space="preserve">(New York: Routledge, 1990), </w:t>
      </w:r>
      <w:r>
        <w:br/>
        <w:t>p. 15.</w:t>
      </w:r>
    </w:p>
  </w:footnote>
  <w:footnote w:id="4">
    <w:p w:rsidR="00FB6180" w:rsidRPr="0069357F" w:rsidRDefault="00FB6180" w:rsidP="004734C2">
      <w:pPr>
        <w:pStyle w:val="FootnoteText"/>
      </w:pPr>
      <w:r>
        <w:rPr>
          <w:rStyle w:val="FootnoteReference"/>
        </w:rPr>
        <w:footnoteRef/>
      </w:r>
      <w:r>
        <w:t xml:space="preserve"> Caroline C. Ford, </w:t>
      </w:r>
      <w:r>
        <w:rPr>
          <w:i/>
        </w:rPr>
        <w:t xml:space="preserve">Divided Houses: Religion and Gender in Modern France, </w:t>
      </w:r>
      <w:r>
        <w:t>(New York:</w:t>
      </w:r>
      <w:r w:rsidRPr="001D3A2C">
        <w:t xml:space="preserve"> </w:t>
      </w:r>
      <w:r>
        <w:t>Cornell University Press, 2005), p. 81.</w:t>
      </w:r>
    </w:p>
  </w:footnote>
  <w:footnote w:id="5">
    <w:p w:rsidR="00FB6180" w:rsidRDefault="00FB6180" w:rsidP="00384A4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545716">
        <w:t xml:space="preserve">Janie Vanpée, ‘Performing Justice: The Trials of Olympe de Gouges’, </w:t>
      </w:r>
      <w:r w:rsidR="00545716">
        <w:rPr>
          <w:i/>
        </w:rPr>
        <w:t xml:space="preserve">Theatre Journal, </w:t>
      </w:r>
      <w:r w:rsidR="00545716">
        <w:t xml:space="preserve">Vol. 51, No. 1, Women, Nations, Households, and History (March, 1999), 47-65, p.56 and Ford, </w:t>
      </w:r>
      <w:r w:rsidR="00545716">
        <w:rPr>
          <w:i/>
        </w:rPr>
        <w:t>Divided Houses,</w:t>
      </w:r>
      <w:r w:rsidR="00545716">
        <w:t xml:space="preserve"> p.81.</w:t>
      </w:r>
    </w:p>
  </w:footnote>
  <w:footnote w:id="6">
    <w:p w:rsidR="00FB6180" w:rsidRDefault="00FB6180" w:rsidP="00384A43">
      <w:pPr>
        <w:pStyle w:val="FootnoteText"/>
      </w:pPr>
      <w:r>
        <w:rPr>
          <w:rStyle w:val="FootnoteReference"/>
        </w:rPr>
        <w:footnoteRef/>
      </w:r>
      <w:r>
        <w:t xml:space="preserve"> Ford, </w:t>
      </w:r>
      <w:r>
        <w:rPr>
          <w:i/>
        </w:rPr>
        <w:t>Divided Houses,</w:t>
      </w:r>
      <w:r>
        <w:t xml:space="preserve"> p. 81. The trend existed in Britain also, but not to the same extent as in France.</w:t>
      </w:r>
    </w:p>
  </w:footnote>
  <w:footnote w:id="7">
    <w:p w:rsidR="00FB6180" w:rsidRPr="00CC374C" w:rsidRDefault="00FB6180" w:rsidP="00500650">
      <w:pPr>
        <w:pStyle w:val="FootnoteText"/>
      </w:pPr>
      <w:r>
        <w:rPr>
          <w:rStyle w:val="FootnoteReference"/>
        </w:rPr>
        <w:footnoteRef/>
      </w:r>
      <w:r w:rsidRPr="00CC374C">
        <w:t xml:space="preserve"> Dorinda Outram, ‘</w:t>
      </w:r>
      <w:r w:rsidRPr="00CC374C">
        <w:rPr>
          <w:i/>
        </w:rPr>
        <w:t>Le Langage M</w:t>
      </w:r>
      <w:r w:rsidRPr="00CC374C">
        <w:rPr>
          <w:rFonts w:cs="Times New Roman"/>
          <w:i/>
        </w:rPr>
        <w:t>â</w:t>
      </w:r>
      <w:r w:rsidRPr="00CC374C">
        <w:rPr>
          <w:i/>
        </w:rPr>
        <w:t>le de la Vertu:</w:t>
      </w:r>
      <w:r w:rsidRPr="00CC374C">
        <w:t xml:space="preserve"> Women and the Discourse of the French Revolution,’</w:t>
      </w:r>
      <w:r>
        <w:t xml:space="preserve"> in eds. Peter Burke and Roy Porter, </w:t>
      </w:r>
      <w:r>
        <w:rPr>
          <w:i/>
        </w:rPr>
        <w:t>The Social History of Language,</w:t>
      </w:r>
      <w:r>
        <w:t xml:space="preserve"> (Cambridge: Cambridge University Press, 1987), p. 120.</w:t>
      </w:r>
    </w:p>
  </w:footnote>
  <w:footnote w:id="8">
    <w:p w:rsidR="00FB6180" w:rsidRDefault="00FB6180" w:rsidP="00B16137">
      <w:pPr>
        <w:pStyle w:val="FootnoteText"/>
      </w:pPr>
      <w:r>
        <w:rPr>
          <w:rStyle w:val="FootnoteReference"/>
        </w:rPr>
        <w:footnoteRef/>
      </w:r>
      <w:r w:rsidRPr="00E5290E">
        <w:t xml:space="preserve"> </w:t>
      </w:r>
      <w:r w:rsidRPr="00E5290E">
        <w:rPr>
          <w:i/>
        </w:rPr>
        <w:t>Les dragons et les Benedictines</w:t>
      </w:r>
      <w:r w:rsidRPr="00E5290E">
        <w:t xml:space="preserve"> and its sequel, </w:t>
      </w:r>
      <w:r w:rsidRPr="00E5290E">
        <w:rPr>
          <w:i/>
        </w:rPr>
        <w:t>Les dragons en cantonnemert</w:t>
      </w:r>
      <w:r w:rsidRPr="00E5290E">
        <w:t xml:space="preserve"> were ‘o</w:t>
      </w:r>
      <w:r>
        <w:t>n a few occasions both were given on the same day, but more frequently they were alternated; and the two were acted a total of eighty-six times, beginning with November I, I793.’ Hyslop, ‘The Theater during a Crisis: the Parisian Theater during the Reign of Terror,’ p. 344.</w:t>
      </w:r>
    </w:p>
  </w:footnote>
  <w:footnote w:id="9">
    <w:p w:rsidR="00FB6180" w:rsidRDefault="00FB6180" w:rsidP="00BA537F">
      <w:pPr>
        <w:pStyle w:val="FootnoteText"/>
      </w:pPr>
      <w:r>
        <w:rPr>
          <w:rStyle w:val="FootnoteReference"/>
        </w:rPr>
        <w:footnoteRef/>
      </w:r>
      <w:r>
        <w:t xml:space="preserve"> Rodmell, </w:t>
      </w:r>
      <w:r>
        <w:rPr>
          <w:i/>
        </w:rPr>
        <w:t xml:space="preserve">French Drama of the Revolutionary Years, </w:t>
      </w:r>
      <w:r>
        <w:t>p. 1.</w:t>
      </w:r>
    </w:p>
  </w:footnote>
  <w:footnote w:id="10">
    <w:p w:rsidR="00FB6180" w:rsidRDefault="00FB6180" w:rsidP="00311FF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5E7319">
        <w:t>The Oxford English Dictionary, ‘</w:t>
      </w:r>
      <w:r w:rsidRPr="005E7319">
        <w:rPr>
          <w:i/>
        </w:rPr>
        <w:t>Revolutionary</w:t>
      </w:r>
      <w:r w:rsidRPr="005E7319">
        <w:t xml:space="preserve">’ at </w:t>
      </w:r>
      <w:hyperlink r:id="rId1" w:history="1">
        <w:r w:rsidRPr="002D2031">
          <w:rPr>
            <w:rStyle w:val="Hyperlink"/>
            <w:color w:val="365F91" w:themeColor="accent1" w:themeShade="BF"/>
          </w:rPr>
          <w:t>http://www.oed.com/view/Entr/164973?redirectedFrom=revolutionary&amp;print</w:t>
        </w:r>
      </w:hyperlink>
      <w:r w:rsidRPr="005E7319">
        <w:rPr>
          <w:color w:val="1F497D" w:themeColor="text2"/>
        </w:rPr>
        <w:t xml:space="preserve">, </w:t>
      </w:r>
      <w:r w:rsidRPr="005E7319">
        <w:t>consulted on 28/12/2010</w:t>
      </w:r>
      <w:r>
        <w:t>.</w:t>
      </w:r>
    </w:p>
  </w:footnote>
  <w:footnote w:id="11">
    <w:p w:rsidR="00FB6180" w:rsidRPr="00C94471" w:rsidRDefault="00FB6180" w:rsidP="00625973">
      <w:pPr>
        <w:pStyle w:val="FootnoteText"/>
      </w:pPr>
      <w:r>
        <w:rPr>
          <w:rStyle w:val="FootnoteReference"/>
        </w:rPr>
        <w:footnoteRef/>
      </w:r>
      <w:r>
        <w:t xml:space="preserve"> Claire Walker, ‘“Going against some forcible wind”: Writing and Reform in Medieval and Early Modern Convents,’ in </w:t>
      </w:r>
      <w:r>
        <w:rPr>
          <w:i/>
        </w:rPr>
        <w:t>Journal of Women’s History,</w:t>
      </w:r>
      <w:r>
        <w:t xml:space="preserve"> Vol. 21, No. 1, (Spring 2009), 135-144</w:t>
      </w:r>
      <w:r w:rsidRPr="00CD49B6">
        <w:t>, p.</w:t>
      </w:r>
      <w:r>
        <w:t xml:space="preserve"> </w:t>
      </w:r>
      <w:r w:rsidRPr="00CD49B6">
        <w:t>143</w:t>
      </w:r>
      <w:r>
        <w:t>.</w:t>
      </w:r>
    </w:p>
  </w:footnote>
  <w:footnote w:id="12">
    <w:p w:rsidR="00FB6180" w:rsidRDefault="00FB6180" w:rsidP="00C03BC3">
      <w:pPr>
        <w:pStyle w:val="FootnoteText"/>
      </w:pPr>
      <w:r>
        <w:rPr>
          <w:rStyle w:val="FootnoteReference"/>
        </w:rPr>
        <w:footnoteRef/>
      </w:r>
      <w:r>
        <w:t xml:space="preserve"> Christopher Rivers, ‘Safe Sex: The </w:t>
      </w:r>
      <w:r w:rsidR="00545716">
        <w:t>Prophylactic</w:t>
      </w:r>
      <w:r>
        <w:t xml:space="preserve"> Walls of the Cloister in the French Libertine Convent Novel of the Eighteenth Century’ in </w:t>
      </w:r>
      <w:r>
        <w:rPr>
          <w:i/>
        </w:rPr>
        <w:t xml:space="preserve">Journal of the History of Sexuality, </w:t>
      </w:r>
      <w:r>
        <w:t>Vol. 5, No. 3 (January, 1995), 381-402, p. 382.</w:t>
      </w:r>
    </w:p>
  </w:footnote>
  <w:footnote w:id="13">
    <w:p w:rsidR="00FB6180" w:rsidRPr="003E6E01" w:rsidRDefault="00FB6180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3E6E01">
        <w:rPr>
          <w:lang w:val="fr-FR"/>
        </w:rPr>
        <w:t xml:space="preserve"> De Gouges, </w:t>
      </w:r>
      <w:r w:rsidRPr="003E6E01">
        <w:rPr>
          <w:i/>
          <w:lang w:val="fr-FR"/>
        </w:rPr>
        <w:t>Le Couvent,</w:t>
      </w:r>
      <w:r w:rsidRPr="003E6E01">
        <w:rPr>
          <w:lang w:val="fr-FR"/>
        </w:rPr>
        <w:t xml:space="preserve"> </w:t>
      </w:r>
      <w:r>
        <w:rPr>
          <w:lang w:val="fr-FR"/>
        </w:rPr>
        <w:t>(</w:t>
      </w:r>
      <w:r w:rsidRPr="003E6E01">
        <w:rPr>
          <w:lang w:val="fr-FR"/>
        </w:rPr>
        <w:t>Acte I, Sc</w:t>
      </w:r>
      <w:r>
        <w:rPr>
          <w:rFonts w:cs="Times New Roman"/>
          <w:lang w:val="fr-FR"/>
        </w:rPr>
        <w:t>è</w:t>
      </w:r>
      <w:r w:rsidRPr="003E6E01">
        <w:rPr>
          <w:lang w:val="fr-FR"/>
        </w:rPr>
        <w:t>ne I</w:t>
      </w:r>
      <w:r>
        <w:rPr>
          <w:lang w:val="fr-FR"/>
        </w:rPr>
        <w:t>).</w:t>
      </w:r>
    </w:p>
  </w:footnote>
  <w:footnote w:id="14">
    <w:p w:rsidR="00FB6180" w:rsidRPr="002C1FD0" w:rsidRDefault="00FB6180" w:rsidP="00511119">
      <w:pPr>
        <w:pStyle w:val="FootnoteText"/>
      </w:pPr>
      <w:r>
        <w:rPr>
          <w:rStyle w:val="FootnoteReference"/>
        </w:rPr>
        <w:footnoteRef/>
      </w:r>
      <w:r>
        <w:t xml:space="preserve"> Ulrike Strasser, ‘The Cloister as Membrane: Recent Convent History and the Circulation of People and Ideas’ in </w:t>
      </w:r>
      <w:r>
        <w:rPr>
          <w:i/>
        </w:rPr>
        <w:t xml:space="preserve">Gender &amp; History, </w:t>
      </w:r>
      <w:r>
        <w:t>Vol. 19, No. 2, (August 2007), 396-</w:t>
      </w:r>
      <w:r w:rsidRPr="00DD4808">
        <w:t>375, p. 372</w:t>
      </w:r>
      <w:r>
        <w:t>.</w:t>
      </w:r>
    </w:p>
  </w:footnote>
  <w:footnote w:id="15">
    <w:p w:rsidR="00B87ECB" w:rsidRPr="00B87ECB" w:rsidRDefault="00B87ECB">
      <w:pPr>
        <w:pStyle w:val="FootnoteText"/>
      </w:pPr>
      <w:r>
        <w:rPr>
          <w:rStyle w:val="FootnoteReference"/>
        </w:rPr>
        <w:footnoteRef/>
      </w:r>
      <w:r w:rsidRPr="00B87ECB">
        <w:t xml:space="preserve"> James Frederick Mason, </w:t>
      </w:r>
      <w:r w:rsidRPr="00B87ECB">
        <w:rPr>
          <w:i/>
        </w:rPr>
        <w:t>The Melodrama in France from the Revolution to the Beginning of Romantic Drama, 1791-1830,</w:t>
      </w:r>
      <w:r>
        <w:t xml:space="preserve"> (Baltimore: J. H. Furst Company, 1912),  p. 1.</w:t>
      </w:r>
    </w:p>
  </w:footnote>
  <w:footnote w:id="16">
    <w:p w:rsidR="00FB6180" w:rsidRPr="000970E2" w:rsidRDefault="00FB6180" w:rsidP="008C6D83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0970E2">
        <w:rPr>
          <w:lang w:val="fr-FR"/>
        </w:rPr>
        <w:t xml:space="preserve"> </w:t>
      </w:r>
      <w:r>
        <w:rPr>
          <w:lang w:val="fr-FR"/>
        </w:rPr>
        <w:t xml:space="preserve">Augusta Marie Joseph Bougelet de Souza, </w:t>
      </w:r>
      <w:r>
        <w:rPr>
          <w:i/>
          <w:lang w:val="fr-FR"/>
        </w:rPr>
        <w:t>Le Rire au Théâtre pendant la Révolution française,</w:t>
      </w:r>
      <w:r>
        <w:rPr>
          <w:lang w:val="fr-FR"/>
        </w:rPr>
        <w:t xml:space="preserve"> (Bruxelles: L’Egalitine, 1928), p. 66.</w:t>
      </w:r>
    </w:p>
  </w:footnote>
  <w:footnote w:id="17">
    <w:p w:rsidR="00FB6180" w:rsidRDefault="00FB6180" w:rsidP="0015500D">
      <w:pPr>
        <w:pStyle w:val="FootnoteText"/>
      </w:pPr>
      <w:r>
        <w:rPr>
          <w:rStyle w:val="FootnoteReference"/>
        </w:rPr>
        <w:footnoteRef/>
      </w:r>
      <w:r>
        <w:t xml:space="preserve"> Mita Choudhury, </w:t>
      </w:r>
      <w:r>
        <w:rPr>
          <w:i/>
        </w:rPr>
        <w:t xml:space="preserve">Convents and Nuns in Eighteenth-Century French Politics and Culture, </w:t>
      </w:r>
      <w:r>
        <w:t>(London: Cornell University Press, 2004), p. 158.</w:t>
      </w:r>
    </w:p>
  </w:footnote>
  <w:footnote w:id="18">
    <w:p w:rsidR="00FB6180" w:rsidRDefault="00FB6180" w:rsidP="00DA2ADF">
      <w:pPr>
        <w:pStyle w:val="FootnoteText"/>
      </w:pPr>
      <w:r>
        <w:rPr>
          <w:rStyle w:val="FootnoteReference"/>
        </w:rPr>
        <w:footnoteRef/>
      </w:r>
      <w:r>
        <w:t xml:space="preserve"> Rodmell, </w:t>
      </w:r>
      <w:r>
        <w:rPr>
          <w:i/>
        </w:rPr>
        <w:t>French Drama of the Revolutionary Years</w:t>
      </w:r>
      <w:r>
        <w:t>, p. 17.</w:t>
      </w:r>
    </w:p>
  </w:footnote>
  <w:footnote w:id="19">
    <w:p w:rsidR="00FB6180" w:rsidRPr="00AC70A9" w:rsidRDefault="00FB6180" w:rsidP="00AC70A9">
      <w:pPr>
        <w:pStyle w:val="FootnoteText"/>
        <w:jc w:val="both"/>
        <w:rPr>
          <w:lang w:val="fr-FR"/>
        </w:rPr>
      </w:pPr>
      <w:r>
        <w:rPr>
          <w:rStyle w:val="FootnoteReference"/>
        </w:rPr>
        <w:footnoteRef/>
      </w:r>
      <w:r w:rsidRPr="00AC70A9">
        <w:rPr>
          <w:lang w:val="fr-FR"/>
        </w:rPr>
        <w:t xml:space="preserve"> </w:t>
      </w:r>
      <w:r>
        <w:rPr>
          <w:lang w:val="fr-FR"/>
        </w:rPr>
        <w:t xml:space="preserve">Sophie </w:t>
      </w:r>
      <w:r w:rsidRPr="00764FB2">
        <w:rPr>
          <w:lang w:val="fr-FR"/>
        </w:rPr>
        <w:t>Marchand, ‘</w:t>
      </w:r>
      <w:r w:rsidRPr="00764FB2">
        <w:rPr>
          <w:i/>
          <w:lang w:val="fr-FR"/>
        </w:rPr>
        <w:t>Représenter la clau</w:t>
      </w:r>
      <w:r>
        <w:rPr>
          <w:i/>
          <w:lang w:val="fr-FR"/>
        </w:rPr>
        <w:t xml:space="preserve">stration : les décors de couvents, entre idéologie et </w:t>
      </w:r>
      <w:r w:rsidRPr="00764FB2">
        <w:rPr>
          <w:i/>
          <w:lang w:val="fr-FR"/>
        </w:rPr>
        <w:t>scénographie</w:t>
      </w:r>
      <w:r w:rsidRPr="00764FB2">
        <w:rPr>
          <w:lang w:val="fr-FR"/>
        </w:rPr>
        <w:t>’</w:t>
      </w:r>
      <w:r>
        <w:rPr>
          <w:lang w:val="fr-FR"/>
        </w:rPr>
        <w:t xml:space="preserve"> in </w:t>
      </w:r>
      <w:r w:rsidRPr="00764FB2">
        <w:rPr>
          <w:lang w:val="fr-FR"/>
        </w:rPr>
        <w:t>Bourdin, Philippe and Le Borgne, François</w:t>
      </w:r>
      <w:r>
        <w:rPr>
          <w:lang w:val="fr-FR"/>
        </w:rPr>
        <w:t xml:space="preserve"> (eds.)</w:t>
      </w:r>
      <w:r w:rsidRPr="00764FB2">
        <w:rPr>
          <w:lang w:val="fr-FR"/>
        </w:rPr>
        <w:t xml:space="preserve">, </w:t>
      </w:r>
      <w:r>
        <w:rPr>
          <w:i/>
          <w:lang w:val="fr-FR"/>
        </w:rPr>
        <w:t xml:space="preserve">Costumes, Décors et Accessoires dans le théâtre de la Révolution et de l’Empire, </w:t>
      </w:r>
      <w:r>
        <w:rPr>
          <w:lang w:val="fr-FR"/>
        </w:rPr>
        <w:t xml:space="preserve">(Clermont-Ferrand: Presse </w:t>
      </w:r>
      <w:r w:rsidRPr="002D2031">
        <w:rPr>
          <w:lang w:val="fr-FR"/>
        </w:rPr>
        <w:t>Universitaires Blaise Pascal, 2010)</w:t>
      </w:r>
      <w:r>
        <w:rPr>
          <w:lang w:val="fr-FR"/>
        </w:rPr>
        <w:t>, 41- 55, p. 45.</w:t>
      </w:r>
    </w:p>
  </w:footnote>
  <w:footnote w:id="20">
    <w:p w:rsidR="00FB6180" w:rsidRPr="00AC70A9" w:rsidRDefault="00FB6180" w:rsidP="00F50109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AC70A9">
        <w:rPr>
          <w:lang w:val="fr-FR"/>
        </w:rPr>
        <w:t xml:space="preserve"> Ford, </w:t>
      </w:r>
      <w:r w:rsidRPr="00AC70A9">
        <w:rPr>
          <w:i/>
          <w:lang w:val="fr-FR"/>
        </w:rPr>
        <w:t>Divided Houses,</w:t>
      </w:r>
      <w:r w:rsidRPr="00AC70A9">
        <w:rPr>
          <w:lang w:val="fr-FR"/>
        </w:rPr>
        <w:t xml:space="preserve"> p. 81</w:t>
      </w:r>
      <w:r>
        <w:rPr>
          <w:lang w:val="fr-FR"/>
        </w:rPr>
        <w:t>.</w:t>
      </w:r>
    </w:p>
  </w:footnote>
  <w:footnote w:id="21">
    <w:p w:rsidR="00FB6180" w:rsidRPr="00E5290E" w:rsidRDefault="00FB6180" w:rsidP="00F50109">
      <w:pPr>
        <w:pStyle w:val="FootnoteText"/>
      </w:pPr>
      <w:r>
        <w:rPr>
          <w:rStyle w:val="FootnoteReference"/>
        </w:rPr>
        <w:footnoteRef/>
      </w:r>
      <w:r w:rsidRPr="00E5290E">
        <w:t xml:space="preserve"> </w:t>
      </w:r>
      <w:r>
        <w:t>Lenard R. Berlanstein,</w:t>
      </w:r>
      <w:r>
        <w:rPr>
          <w:i/>
        </w:rPr>
        <w:t xml:space="preserve"> Daughters of Eve: a cultural history of French theater women from the Old Regime to the fin de siècle,</w:t>
      </w:r>
      <w:r>
        <w:t xml:space="preserve"> (Cambridge, Mass.: Harvard University Press, 2001), p. 13.</w:t>
      </w:r>
    </w:p>
  </w:footnote>
  <w:footnote w:id="22">
    <w:p w:rsidR="00FB6180" w:rsidRPr="00FB7DF4" w:rsidRDefault="00FB6180" w:rsidP="00F50109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FB7DF4">
        <w:rPr>
          <w:lang w:val="fr-FR"/>
        </w:rPr>
        <w:t xml:space="preserve"> Paul Ginisty, </w:t>
      </w:r>
      <w:r w:rsidRPr="00FB7DF4">
        <w:rPr>
          <w:i/>
          <w:lang w:val="fr-FR"/>
        </w:rPr>
        <w:t xml:space="preserve">Le </w:t>
      </w:r>
      <w:r w:rsidR="00545716" w:rsidRPr="00FB7DF4">
        <w:rPr>
          <w:i/>
          <w:lang w:val="fr-FR"/>
        </w:rPr>
        <w:t>Mélodrame</w:t>
      </w:r>
      <w:r w:rsidRPr="00FB7DF4">
        <w:rPr>
          <w:i/>
          <w:lang w:val="fr-FR"/>
        </w:rPr>
        <w:t xml:space="preserve">, </w:t>
      </w:r>
      <w:r>
        <w:rPr>
          <w:lang w:val="fr-FR"/>
        </w:rPr>
        <w:t>(Paris: Louis Michaud,</w:t>
      </w:r>
      <w:r w:rsidRPr="00FB7DF4">
        <w:rPr>
          <w:lang w:val="fr-FR"/>
        </w:rPr>
        <w:t xml:space="preserve"> 1900</w:t>
      </w:r>
      <w:r>
        <w:rPr>
          <w:lang w:val="fr-FR"/>
        </w:rPr>
        <w:t>)</w:t>
      </w:r>
      <w:r w:rsidRPr="00FB7DF4">
        <w:rPr>
          <w:lang w:val="fr-FR"/>
        </w:rPr>
        <w:t>, p. 22</w:t>
      </w:r>
      <w:r>
        <w:rPr>
          <w:lang w:val="fr-FR"/>
        </w:rPr>
        <w:t>.</w:t>
      </w:r>
    </w:p>
  </w:footnote>
  <w:footnote w:id="23">
    <w:p w:rsidR="00FB6180" w:rsidRPr="00161E32" w:rsidRDefault="00FB6180" w:rsidP="00863F49">
      <w:pPr>
        <w:pStyle w:val="FootnoteText"/>
      </w:pPr>
      <w:r>
        <w:rPr>
          <w:rStyle w:val="FootnoteReference"/>
        </w:rPr>
        <w:footnoteRef/>
      </w:r>
      <w:r w:rsidRPr="00161E32">
        <w:t xml:space="preserve"> </w:t>
      </w:r>
      <w:r w:rsidRPr="00937049">
        <w:t>Patrick D. Murphree, ‘The Spectacle of the Cloister in French Revolutionary Drama,’ at</w:t>
      </w:r>
      <w:r>
        <w:t xml:space="preserve"> </w:t>
      </w:r>
      <w:hyperlink r:id="rId2" w:history="1">
        <w:r w:rsidRPr="002D2031">
          <w:rPr>
            <w:rStyle w:val="Hyperlink"/>
            <w:color w:val="365F91" w:themeColor="accent1" w:themeShade="BF"/>
          </w:rPr>
          <w:t>http://www.cesar.org.uk/cesar2/conferences/cesar_conference_2006/Murphree_paper06.html</w:t>
        </w:r>
      </w:hyperlink>
      <w:r>
        <w:t>, consulted on 15/01/2011.</w:t>
      </w:r>
    </w:p>
  </w:footnote>
  <w:footnote w:id="24">
    <w:p w:rsidR="00FB6180" w:rsidRPr="007D5EED" w:rsidRDefault="00FB6180" w:rsidP="00863F49">
      <w:pPr>
        <w:pStyle w:val="FootnoteText"/>
      </w:pPr>
      <w:r w:rsidRPr="007D5EED">
        <w:rPr>
          <w:rStyle w:val="FootnoteReference"/>
        </w:rPr>
        <w:footnoteRef/>
      </w:r>
      <w:r w:rsidRPr="007D5EED">
        <w:t xml:space="preserve"> Hyslop, ‘The Theater during a Crisis: the Parisian Theater during the Reign of Terror,’ p. 355</w:t>
      </w:r>
      <w:r>
        <w:t>.</w:t>
      </w:r>
    </w:p>
  </w:footnote>
  <w:footnote w:id="25">
    <w:p w:rsidR="00001397" w:rsidRPr="00625D07" w:rsidRDefault="00001397" w:rsidP="00001397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027B7F">
        <w:rPr>
          <w:lang w:val="fr-FR"/>
        </w:rPr>
        <w:t xml:space="preserve"> </w:t>
      </w:r>
      <w:r w:rsidRPr="00764FB2">
        <w:rPr>
          <w:lang w:val="fr-FR"/>
        </w:rPr>
        <w:t>Marchand, ‘</w:t>
      </w:r>
      <w:r w:rsidRPr="00764FB2">
        <w:rPr>
          <w:i/>
          <w:lang w:val="fr-FR"/>
        </w:rPr>
        <w:t>Représenter la clau</w:t>
      </w:r>
      <w:r>
        <w:rPr>
          <w:i/>
          <w:lang w:val="fr-FR"/>
        </w:rPr>
        <w:t xml:space="preserve">stration : les décors de couvents, entre idéologie et </w:t>
      </w:r>
      <w:r w:rsidRPr="00764FB2">
        <w:rPr>
          <w:i/>
          <w:lang w:val="fr-FR"/>
        </w:rPr>
        <w:t>scénographie</w:t>
      </w:r>
      <w:r>
        <w:rPr>
          <w:lang w:val="fr-FR"/>
        </w:rPr>
        <w:t xml:space="preserve">,’ p. 43 citing R. Lapacle, </w:t>
      </w:r>
      <w:r>
        <w:rPr>
          <w:i/>
          <w:lang w:val="fr-FR"/>
        </w:rPr>
        <w:t>Monvel, un aventurier du théâtre au siècle des Lumières,</w:t>
      </w:r>
      <w:r>
        <w:rPr>
          <w:lang w:val="fr-FR"/>
        </w:rPr>
        <w:t xml:space="preserve"> (Paris: Champions, 1998), p. 219.</w:t>
      </w:r>
    </w:p>
  </w:footnote>
  <w:footnote w:id="26">
    <w:p w:rsidR="00FB6180" w:rsidRPr="007D5EED" w:rsidRDefault="00FB6180" w:rsidP="007D5EED">
      <w:pPr>
        <w:pStyle w:val="NoSpacing"/>
      </w:pPr>
      <w:r w:rsidRPr="007D5EED">
        <w:rPr>
          <w:rStyle w:val="FootnoteReference"/>
          <w:sz w:val="20"/>
          <w:szCs w:val="20"/>
        </w:rPr>
        <w:footnoteRef/>
      </w:r>
      <w:r w:rsidRPr="007D5EED">
        <w:rPr>
          <w:sz w:val="20"/>
          <w:szCs w:val="20"/>
        </w:rPr>
        <w:t xml:space="preserve"> </w:t>
      </w:r>
      <w:r w:rsidR="00545716" w:rsidRPr="007D5EED">
        <w:rPr>
          <w:sz w:val="20"/>
          <w:szCs w:val="20"/>
        </w:rPr>
        <w:t xml:space="preserve">Susan Maslan, </w:t>
      </w:r>
      <w:r w:rsidR="00545716" w:rsidRPr="007D5EED">
        <w:rPr>
          <w:i/>
          <w:sz w:val="20"/>
          <w:szCs w:val="20"/>
        </w:rPr>
        <w:t>Revolutionary Acts: Theater, Democracy and the French Revolution</w:t>
      </w:r>
      <w:r w:rsidR="00545716" w:rsidRPr="007D5EED">
        <w:rPr>
          <w:sz w:val="20"/>
          <w:szCs w:val="20"/>
        </w:rPr>
        <w:t>, (Baltimore, The John Hopkins University Press, 2005)</w:t>
      </w:r>
      <w:r w:rsidR="00545716">
        <w:rPr>
          <w:sz w:val="20"/>
          <w:szCs w:val="20"/>
        </w:rPr>
        <w:t xml:space="preserve">, </w:t>
      </w:r>
      <w:r w:rsidR="00545716" w:rsidRPr="007D5EED">
        <w:rPr>
          <w:sz w:val="20"/>
          <w:szCs w:val="20"/>
        </w:rPr>
        <w:t>p. 27 citing Marie-Hél</w:t>
      </w:r>
      <w:r w:rsidR="00545716" w:rsidRPr="007D5EED">
        <w:rPr>
          <w:rFonts w:cs="Times New Roman"/>
          <w:sz w:val="20"/>
          <w:szCs w:val="20"/>
        </w:rPr>
        <w:t>è</w:t>
      </w:r>
      <w:r w:rsidR="00545716" w:rsidRPr="007D5EED">
        <w:rPr>
          <w:sz w:val="20"/>
          <w:szCs w:val="20"/>
        </w:rPr>
        <w:t xml:space="preserve">ne Huet, </w:t>
      </w:r>
      <w:r w:rsidR="00545716" w:rsidRPr="007D5EED">
        <w:rPr>
          <w:i/>
          <w:sz w:val="20"/>
          <w:szCs w:val="20"/>
        </w:rPr>
        <w:t xml:space="preserve">Rehearsing the Revolution, </w:t>
      </w:r>
      <w:r w:rsidR="00545716" w:rsidRPr="007D5EED">
        <w:rPr>
          <w:sz w:val="20"/>
          <w:szCs w:val="20"/>
        </w:rPr>
        <w:t>p. 3</w:t>
      </w:r>
      <w:r w:rsidR="00545716">
        <w:rPr>
          <w:sz w:val="20"/>
          <w:szCs w:val="20"/>
        </w:rPr>
        <w:t>.</w:t>
      </w:r>
    </w:p>
  </w:footnote>
  <w:footnote w:id="27">
    <w:p w:rsidR="00FB6180" w:rsidRDefault="00FB6180" w:rsidP="00863F49">
      <w:pPr>
        <w:pStyle w:val="FootnoteText"/>
      </w:pPr>
      <w:r w:rsidRPr="007D5EED">
        <w:rPr>
          <w:rStyle w:val="FootnoteReference"/>
        </w:rPr>
        <w:footnoteRef/>
      </w:r>
      <w:r w:rsidRPr="007D5EED">
        <w:t xml:space="preserve"> Lynn Hunt, </w:t>
      </w:r>
      <w:r w:rsidRPr="007D5EED">
        <w:rPr>
          <w:i/>
        </w:rPr>
        <w:t xml:space="preserve">Politics, Culture, and Class in the French Revolution, </w:t>
      </w:r>
      <w:r w:rsidRPr="007D5EED">
        <w:t>(Berkeley: University of California</w:t>
      </w:r>
      <w:r>
        <w:t xml:space="preserve"> Press, 1984), p. 24.</w:t>
      </w:r>
    </w:p>
  </w:footnote>
  <w:footnote w:id="28">
    <w:p w:rsidR="00FB6180" w:rsidRPr="0017762C" w:rsidRDefault="00FB6180" w:rsidP="0091667E">
      <w:pPr>
        <w:pStyle w:val="FootnoteText"/>
      </w:pPr>
      <w:r>
        <w:rPr>
          <w:rStyle w:val="FootnoteReference"/>
        </w:rPr>
        <w:footnoteRef/>
      </w:r>
      <w:r w:rsidRPr="0017762C">
        <w:rPr>
          <w:lang w:val="fr-FR"/>
        </w:rPr>
        <w:t xml:space="preserve"> Mona Ozouf, ‘</w:t>
      </w:r>
      <w:r w:rsidRPr="0017762C">
        <w:rPr>
          <w:i/>
          <w:lang w:val="fr-FR"/>
        </w:rPr>
        <w:t>La Révolution Fran</w:t>
      </w:r>
      <w:r w:rsidRPr="0017762C">
        <w:rPr>
          <w:rFonts w:cs="Times New Roman"/>
          <w:i/>
          <w:lang w:val="fr-FR"/>
        </w:rPr>
        <w:t>ç</w:t>
      </w:r>
      <w:r w:rsidRPr="0017762C">
        <w:rPr>
          <w:i/>
          <w:lang w:val="fr-FR"/>
        </w:rPr>
        <w:t>aise et l’idée de l’homme nouveau’,</w:t>
      </w:r>
      <w:r>
        <w:rPr>
          <w:lang w:val="fr-FR"/>
        </w:rPr>
        <w:t xml:space="preserve"> in ed. </w:t>
      </w:r>
      <w:r w:rsidRPr="0017762C">
        <w:t xml:space="preserve">Colin Lucas, </w:t>
      </w:r>
      <w:r w:rsidRPr="0017762C">
        <w:rPr>
          <w:i/>
        </w:rPr>
        <w:t>The French Revolution and the Creat</w:t>
      </w:r>
      <w:r>
        <w:rPr>
          <w:i/>
        </w:rPr>
        <w:t>ion of Modern Political Culture</w:t>
      </w:r>
      <w:r w:rsidRPr="0017762C">
        <w:rPr>
          <w:i/>
        </w:rPr>
        <w:t>: Volume 2, The Political Culture of the French Revoultion,</w:t>
      </w:r>
      <w:r>
        <w:t xml:space="preserve"> (Oxford:</w:t>
      </w:r>
      <w:r w:rsidRPr="001D3A2C">
        <w:t xml:space="preserve"> </w:t>
      </w:r>
      <w:r>
        <w:t xml:space="preserve">Pegamon Press, 1988), p. 214. </w:t>
      </w:r>
    </w:p>
  </w:footnote>
  <w:footnote w:id="29">
    <w:p w:rsidR="00FB6180" w:rsidRPr="0064141E" w:rsidRDefault="00FB6180" w:rsidP="0091667E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>
        <w:rPr>
          <w:lang w:val="fr-FR"/>
        </w:rPr>
        <w:t xml:space="preserve"> </w:t>
      </w:r>
      <w:r w:rsidRPr="0064141E">
        <w:rPr>
          <w:lang w:val="fr-FR"/>
        </w:rPr>
        <w:t xml:space="preserve">Jacques-Marie Boutet, dit Monvel, </w:t>
      </w:r>
      <w:r w:rsidRPr="0064141E">
        <w:rPr>
          <w:i/>
          <w:lang w:val="fr-FR"/>
        </w:rPr>
        <w:t xml:space="preserve">Les Victimes Cloitrées, </w:t>
      </w:r>
      <w:r w:rsidRPr="0064141E">
        <w:rPr>
          <w:lang w:val="fr-FR"/>
        </w:rPr>
        <w:t>premi</w:t>
      </w:r>
      <w:r w:rsidRPr="0064141E">
        <w:rPr>
          <w:rFonts w:cs="Times New Roman"/>
          <w:lang w:val="fr-FR"/>
        </w:rPr>
        <w:t>è</w:t>
      </w:r>
      <w:r w:rsidRPr="0064141E">
        <w:rPr>
          <w:lang w:val="fr-FR"/>
        </w:rPr>
        <w:t>re le 29 mars, 1791</w:t>
      </w:r>
      <w:r>
        <w:rPr>
          <w:lang w:val="fr-FR"/>
        </w:rPr>
        <w:t>, (Acte I, Sc</w:t>
      </w:r>
      <w:r>
        <w:rPr>
          <w:rFonts w:cs="Times New Roman"/>
          <w:lang w:val="fr-FR"/>
        </w:rPr>
        <w:t>è</w:t>
      </w:r>
      <w:r>
        <w:rPr>
          <w:lang w:val="fr-FR"/>
        </w:rPr>
        <w:t>ne V).</w:t>
      </w:r>
    </w:p>
  </w:footnote>
  <w:footnote w:id="30">
    <w:p w:rsidR="00FB6180" w:rsidRPr="00D95E17" w:rsidRDefault="00FB6180" w:rsidP="00B820F0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D95E17">
        <w:rPr>
          <w:lang w:val="fr-FR"/>
        </w:rPr>
        <w:t xml:space="preserve"> </w:t>
      </w:r>
      <w:r>
        <w:rPr>
          <w:lang w:val="fr-FR"/>
        </w:rPr>
        <w:t xml:space="preserve">Monvel, </w:t>
      </w:r>
      <w:r>
        <w:rPr>
          <w:i/>
          <w:lang w:val="fr-FR"/>
        </w:rPr>
        <w:t>Les Victimes Cloitrées,</w:t>
      </w:r>
      <w:r w:rsidRPr="0064141E">
        <w:rPr>
          <w:i/>
          <w:lang w:val="fr-FR"/>
        </w:rPr>
        <w:t xml:space="preserve"> </w:t>
      </w:r>
      <w:r>
        <w:rPr>
          <w:lang w:val="fr-FR"/>
        </w:rPr>
        <w:t>(Acte II, Sc</w:t>
      </w:r>
      <w:r>
        <w:rPr>
          <w:rFonts w:cs="Times New Roman"/>
          <w:lang w:val="fr-FR"/>
        </w:rPr>
        <w:t>è</w:t>
      </w:r>
      <w:r>
        <w:rPr>
          <w:lang w:val="fr-FR"/>
        </w:rPr>
        <w:t>ne III).</w:t>
      </w:r>
    </w:p>
  </w:footnote>
  <w:footnote w:id="31">
    <w:p w:rsidR="00FB6180" w:rsidRPr="00DA0656" w:rsidRDefault="00FB6180">
      <w:pPr>
        <w:pStyle w:val="FootnoteText"/>
      </w:pPr>
      <w:r>
        <w:rPr>
          <w:rStyle w:val="FootnoteReference"/>
        </w:rPr>
        <w:footnoteRef/>
      </w:r>
      <w:r w:rsidRPr="00DA0656">
        <w:t xml:space="preserve"> Hyslop, </w:t>
      </w:r>
      <w:r>
        <w:t>‘The Theater during a Crisis: the Parisian Theater during the Reign of Terror’, p. 344.</w:t>
      </w:r>
    </w:p>
  </w:footnote>
  <w:footnote w:id="32">
    <w:p w:rsidR="00FB6180" w:rsidRPr="007C6EC9" w:rsidRDefault="00FB6180" w:rsidP="0091667E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7C6EC9">
        <w:rPr>
          <w:lang w:val="fr-FR"/>
        </w:rPr>
        <w:t xml:space="preserve"> </w:t>
      </w:r>
      <w:r w:rsidRPr="0064141E">
        <w:rPr>
          <w:lang w:val="fr-FR"/>
        </w:rPr>
        <w:t xml:space="preserve">Monvel, </w:t>
      </w:r>
      <w:r w:rsidRPr="0064141E">
        <w:rPr>
          <w:i/>
          <w:lang w:val="fr-FR"/>
        </w:rPr>
        <w:t xml:space="preserve">Les Victimes Cloitrées, </w:t>
      </w:r>
      <w:r>
        <w:rPr>
          <w:lang w:val="fr-FR"/>
        </w:rPr>
        <w:t>(Acte IV, Sc</w:t>
      </w:r>
      <w:r>
        <w:rPr>
          <w:rFonts w:cs="Times New Roman"/>
          <w:lang w:val="fr-FR"/>
        </w:rPr>
        <w:t>è</w:t>
      </w:r>
      <w:r>
        <w:rPr>
          <w:lang w:val="fr-FR"/>
        </w:rPr>
        <w:t>ne VII).</w:t>
      </w:r>
    </w:p>
  </w:footnote>
  <w:footnote w:id="33">
    <w:p w:rsidR="00FB6180" w:rsidRPr="00F73C7C" w:rsidRDefault="00FB6180" w:rsidP="00F50109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F73C7C">
        <w:rPr>
          <w:lang w:val="fr-FR"/>
        </w:rPr>
        <w:t xml:space="preserve"> </w:t>
      </w:r>
      <w:r w:rsidRPr="00C3022A">
        <w:rPr>
          <w:rFonts w:cs="Times New Roman"/>
          <w:lang w:val="fr-FR"/>
        </w:rPr>
        <w:t xml:space="preserve">Charles-Antoine Pigault-Lebrun, </w:t>
      </w:r>
      <w:r w:rsidRPr="00C3022A">
        <w:rPr>
          <w:rFonts w:cs="Times New Roman"/>
          <w:i/>
          <w:lang w:val="fr-FR"/>
        </w:rPr>
        <w:t>Les Dragons et les Bénédictines,</w:t>
      </w:r>
      <w:r w:rsidRPr="00C3022A">
        <w:rPr>
          <w:rFonts w:cs="Times New Roman"/>
          <w:lang w:val="fr-FR"/>
        </w:rPr>
        <w:t xml:space="preserve"> première le 6 février, 179</w:t>
      </w:r>
      <w:r>
        <w:rPr>
          <w:rFonts w:cs="Times New Roman"/>
          <w:lang w:val="fr-FR"/>
        </w:rPr>
        <w:t xml:space="preserve">4, </w:t>
      </w:r>
      <w:r>
        <w:rPr>
          <w:rFonts w:cs="Times New Roman"/>
          <w:lang w:val="fr-FR"/>
        </w:rPr>
        <w:br/>
        <w:t>(Acte I, Scène X).</w:t>
      </w:r>
    </w:p>
  </w:footnote>
  <w:footnote w:id="34">
    <w:p w:rsidR="00FB6180" w:rsidRDefault="00FB6180" w:rsidP="0070061A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937049">
        <w:t>Murphree, ‘The Spectacle of the Cloister in French Rev</w:t>
      </w:r>
      <w:r>
        <w:t>olutionary Drama.’</w:t>
      </w:r>
    </w:p>
  </w:footnote>
  <w:footnote w:id="35">
    <w:p w:rsidR="00FB6180" w:rsidRPr="009B4B37" w:rsidRDefault="00FB6180" w:rsidP="0070061A">
      <w:pPr>
        <w:pStyle w:val="FootnoteText"/>
      </w:pPr>
      <w:r>
        <w:rPr>
          <w:rStyle w:val="FootnoteReference"/>
        </w:rPr>
        <w:footnoteRef/>
      </w:r>
      <w:r>
        <w:t xml:space="preserve"> Choudhury, </w:t>
      </w:r>
      <w:r>
        <w:rPr>
          <w:i/>
        </w:rPr>
        <w:t>Convents and Nuns in Eighteenth-Century French Politics and Culture,</w:t>
      </w:r>
      <w:r>
        <w:t xml:space="preserve"> p. 155.</w:t>
      </w:r>
    </w:p>
  </w:footnote>
  <w:footnote w:id="36">
    <w:p w:rsidR="00FB6180" w:rsidRDefault="00FB6180" w:rsidP="00F50109">
      <w:pPr>
        <w:pStyle w:val="FootnoteText"/>
      </w:pPr>
      <w:r>
        <w:rPr>
          <w:rStyle w:val="FootnoteReference"/>
        </w:rPr>
        <w:footnoteRef/>
      </w:r>
      <w:r>
        <w:t xml:space="preserve"> Choudhury, </w:t>
      </w:r>
      <w:r>
        <w:rPr>
          <w:i/>
        </w:rPr>
        <w:t xml:space="preserve">Convents and Nuns in Eighteenth-Century French Politics and Culture, </w:t>
      </w:r>
      <w:r>
        <w:t>p. 159.</w:t>
      </w:r>
    </w:p>
  </w:footnote>
  <w:footnote w:id="37">
    <w:p w:rsidR="00FB6180" w:rsidRDefault="00FB6180" w:rsidP="00F50109">
      <w:pPr>
        <w:pStyle w:val="FootnoteText"/>
      </w:pPr>
      <w:r>
        <w:rPr>
          <w:rStyle w:val="FootnoteReference"/>
        </w:rPr>
        <w:footnoteRef/>
      </w:r>
      <w:r>
        <w:t xml:space="preserve"> Choudhury, </w:t>
      </w:r>
      <w:r>
        <w:rPr>
          <w:i/>
        </w:rPr>
        <w:t>Convents and Nuns in Eighteenth-Century French Politics and Culture,</w:t>
      </w:r>
      <w:r>
        <w:t xml:space="preserve"> p. 160.</w:t>
      </w:r>
    </w:p>
  </w:footnote>
  <w:footnote w:id="38">
    <w:p w:rsidR="00FB6180" w:rsidRDefault="00FB6180" w:rsidP="00D00197">
      <w:pPr>
        <w:pStyle w:val="FootnoteText"/>
      </w:pPr>
      <w:r>
        <w:rPr>
          <w:rStyle w:val="FootnoteReference"/>
        </w:rPr>
        <w:footnoteRef/>
      </w:r>
      <w:r>
        <w:t xml:space="preserve"> Hunt, </w:t>
      </w:r>
      <w:r>
        <w:rPr>
          <w:i/>
        </w:rPr>
        <w:t xml:space="preserve">Politics, Culture, and Class in the French Revolution, </w:t>
      </w:r>
      <w:r>
        <w:t>p. 34.</w:t>
      </w:r>
    </w:p>
  </w:footnote>
  <w:footnote w:id="39">
    <w:p w:rsidR="00FB6180" w:rsidRPr="00D95E17" w:rsidRDefault="00FB6180" w:rsidP="009B6393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D95E17">
        <w:rPr>
          <w:lang w:val="fr-FR"/>
        </w:rPr>
        <w:t xml:space="preserve"> </w:t>
      </w:r>
      <w:r w:rsidRPr="0064141E">
        <w:rPr>
          <w:lang w:val="fr-FR"/>
        </w:rPr>
        <w:t xml:space="preserve">Monvel, </w:t>
      </w:r>
      <w:r w:rsidRPr="0064141E">
        <w:rPr>
          <w:i/>
          <w:lang w:val="fr-FR"/>
        </w:rPr>
        <w:t xml:space="preserve">Les Victimes Cloitrées, </w:t>
      </w:r>
      <w:r>
        <w:rPr>
          <w:lang w:val="fr-FR"/>
        </w:rPr>
        <w:t>(Acte II, Sc</w:t>
      </w:r>
      <w:r>
        <w:rPr>
          <w:rFonts w:cs="Times New Roman"/>
          <w:lang w:val="fr-FR"/>
        </w:rPr>
        <w:t>è</w:t>
      </w:r>
      <w:r>
        <w:rPr>
          <w:lang w:val="fr-FR"/>
        </w:rPr>
        <w:t>ne III).</w:t>
      </w:r>
    </w:p>
  </w:footnote>
  <w:footnote w:id="40">
    <w:p w:rsidR="00FB6180" w:rsidRPr="00D95E17" w:rsidRDefault="00FB6180" w:rsidP="001E2CDD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D95E17">
        <w:rPr>
          <w:lang w:val="fr-FR"/>
        </w:rPr>
        <w:t xml:space="preserve"> </w:t>
      </w:r>
      <w:r w:rsidRPr="0064141E">
        <w:rPr>
          <w:lang w:val="fr-FR"/>
        </w:rPr>
        <w:t xml:space="preserve">Monvel, </w:t>
      </w:r>
      <w:r w:rsidRPr="0064141E">
        <w:rPr>
          <w:i/>
          <w:lang w:val="fr-FR"/>
        </w:rPr>
        <w:t xml:space="preserve">Les Victimes Cloitrées, </w:t>
      </w:r>
      <w:r>
        <w:rPr>
          <w:lang w:val="fr-FR"/>
        </w:rPr>
        <w:t>(Acte I, Sc</w:t>
      </w:r>
      <w:r>
        <w:rPr>
          <w:rFonts w:cs="Times New Roman"/>
          <w:lang w:val="fr-FR"/>
        </w:rPr>
        <w:t>è</w:t>
      </w:r>
      <w:r>
        <w:rPr>
          <w:lang w:val="fr-FR"/>
        </w:rPr>
        <w:t>ne II).</w:t>
      </w:r>
    </w:p>
  </w:footnote>
  <w:footnote w:id="41">
    <w:p w:rsidR="00FB6180" w:rsidRDefault="00FB6180" w:rsidP="00E2443F">
      <w:pPr>
        <w:pStyle w:val="FootnoteText"/>
      </w:pPr>
      <w:r>
        <w:rPr>
          <w:rStyle w:val="FootnoteReference"/>
        </w:rPr>
        <w:footnoteRef/>
      </w:r>
      <w:r>
        <w:t xml:space="preserve"> Choudhury, </w:t>
      </w:r>
      <w:r>
        <w:rPr>
          <w:i/>
        </w:rPr>
        <w:t xml:space="preserve">Convents and Nuns in Eighteenth-Century French Politics and Culture, </w:t>
      </w:r>
      <w:r>
        <w:t>p. 161.</w:t>
      </w:r>
    </w:p>
  </w:footnote>
  <w:footnote w:id="42">
    <w:p w:rsidR="00FB6180" w:rsidRPr="003E6E01" w:rsidRDefault="00FB6180" w:rsidP="005A41F0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3E6E01">
        <w:rPr>
          <w:lang w:val="fr-FR"/>
        </w:rPr>
        <w:t xml:space="preserve"> De Gouges, </w:t>
      </w:r>
      <w:r w:rsidRPr="003E6E01">
        <w:rPr>
          <w:i/>
          <w:lang w:val="fr-FR"/>
        </w:rPr>
        <w:t>Le Couvent,</w:t>
      </w:r>
      <w:r w:rsidRPr="003E6E01">
        <w:rPr>
          <w:lang w:val="fr-FR"/>
        </w:rPr>
        <w:t xml:space="preserve"> </w:t>
      </w:r>
      <w:r>
        <w:rPr>
          <w:lang w:val="fr-FR"/>
        </w:rPr>
        <w:t>(</w:t>
      </w:r>
      <w:r w:rsidRPr="003E6E01">
        <w:rPr>
          <w:lang w:val="fr-FR"/>
        </w:rPr>
        <w:t>Acte I, Sc</w:t>
      </w:r>
      <w:r>
        <w:rPr>
          <w:rFonts w:cs="Times New Roman"/>
          <w:lang w:val="fr-FR"/>
        </w:rPr>
        <w:t>è</w:t>
      </w:r>
      <w:r w:rsidRPr="003E6E01">
        <w:rPr>
          <w:lang w:val="fr-FR"/>
        </w:rPr>
        <w:t>ne I</w:t>
      </w:r>
      <w:r>
        <w:rPr>
          <w:lang w:val="fr-FR"/>
        </w:rPr>
        <w:t>).</w:t>
      </w:r>
    </w:p>
  </w:footnote>
  <w:footnote w:id="43">
    <w:p w:rsidR="00FB6180" w:rsidRPr="00D95E17" w:rsidRDefault="00FB6180" w:rsidP="005A41F0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D95E17">
        <w:rPr>
          <w:lang w:val="fr-FR"/>
        </w:rPr>
        <w:t xml:space="preserve"> </w:t>
      </w:r>
      <w:r w:rsidRPr="0064141E">
        <w:rPr>
          <w:lang w:val="fr-FR"/>
        </w:rPr>
        <w:t xml:space="preserve">Monvel, </w:t>
      </w:r>
      <w:r w:rsidRPr="0064141E">
        <w:rPr>
          <w:i/>
          <w:lang w:val="fr-FR"/>
        </w:rPr>
        <w:t xml:space="preserve">Les Victimes Cloitrées, </w:t>
      </w:r>
      <w:r>
        <w:rPr>
          <w:lang w:val="fr-FR"/>
        </w:rPr>
        <w:t>(Acte III, Sc</w:t>
      </w:r>
      <w:r>
        <w:rPr>
          <w:rFonts w:cs="Times New Roman"/>
          <w:lang w:val="fr-FR"/>
        </w:rPr>
        <w:t>è</w:t>
      </w:r>
      <w:r>
        <w:rPr>
          <w:lang w:val="fr-FR"/>
        </w:rPr>
        <w:t>ne II).</w:t>
      </w:r>
    </w:p>
  </w:footnote>
  <w:footnote w:id="44">
    <w:p w:rsidR="00FB6180" w:rsidRPr="00C3022A" w:rsidRDefault="00FB6180" w:rsidP="005A41F0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C3022A">
        <w:rPr>
          <w:lang w:val="fr-FR"/>
        </w:rPr>
        <w:t xml:space="preserve"> </w:t>
      </w:r>
      <w:r w:rsidRPr="00C3022A">
        <w:rPr>
          <w:rFonts w:cs="Times New Roman"/>
          <w:lang w:val="fr-FR"/>
        </w:rPr>
        <w:t xml:space="preserve">Pigault-Lebrun, </w:t>
      </w:r>
      <w:r w:rsidRPr="00C3022A">
        <w:rPr>
          <w:rFonts w:cs="Times New Roman"/>
          <w:i/>
          <w:lang w:val="fr-FR"/>
        </w:rPr>
        <w:t>Les Dragons et les Bénédictines,</w:t>
      </w:r>
      <w:r w:rsidRPr="00C3022A">
        <w:rPr>
          <w:rFonts w:cs="Times New Roman"/>
          <w:lang w:val="fr-FR"/>
        </w:rPr>
        <w:t xml:space="preserve"> </w:t>
      </w:r>
      <w:r>
        <w:rPr>
          <w:rFonts w:cs="Times New Roman"/>
          <w:lang w:val="fr-FR"/>
        </w:rPr>
        <w:t>(Acte I, Scène II).</w:t>
      </w:r>
    </w:p>
  </w:footnote>
  <w:footnote w:id="45">
    <w:p w:rsidR="00FB6180" w:rsidRPr="002C1FD0" w:rsidRDefault="00FB6180" w:rsidP="00C821D3">
      <w:pPr>
        <w:pStyle w:val="FootnoteText"/>
      </w:pPr>
      <w:r>
        <w:rPr>
          <w:rStyle w:val="FootnoteReference"/>
        </w:rPr>
        <w:footnoteRef/>
      </w:r>
      <w:r>
        <w:t xml:space="preserve"> Strasser, ‘The Cloister as Membrane: Recent Convent History and the Circulation of People and Ideas,</w:t>
      </w:r>
      <w:r w:rsidRPr="00DD4808">
        <w:t>’ p. 372</w:t>
      </w:r>
      <w:r>
        <w:t>.</w:t>
      </w:r>
    </w:p>
  </w:footnote>
  <w:footnote w:id="46">
    <w:p w:rsidR="00E95339" w:rsidRDefault="00E95339">
      <w:pPr>
        <w:pStyle w:val="FootnoteText"/>
      </w:pPr>
      <w:r>
        <w:rPr>
          <w:rStyle w:val="FootnoteReference"/>
        </w:rPr>
        <w:footnoteRef/>
      </w:r>
      <w:r>
        <w:t xml:space="preserve"> Choudhury, </w:t>
      </w:r>
      <w:r>
        <w:rPr>
          <w:i/>
        </w:rPr>
        <w:t xml:space="preserve">Convents and Nuns in Eighteenth-Century French Politics and Culture, </w:t>
      </w:r>
      <w:r>
        <w:t>p. 162.</w:t>
      </w:r>
    </w:p>
  </w:footnote>
  <w:footnote w:id="47">
    <w:p w:rsidR="00FB6180" w:rsidRDefault="00FB6180" w:rsidP="005A41F0">
      <w:pPr>
        <w:pStyle w:val="FootnoteText"/>
      </w:pPr>
      <w:r>
        <w:rPr>
          <w:rStyle w:val="FootnoteReference"/>
        </w:rPr>
        <w:footnoteRef/>
      </w:r>
      <w:r>
        <w:t xml:space="preserve"> Hyslop, ‘The Theater during a Crisis: the Parisian Theater during the Reign of Terror,’ p. 355.</w:t>
      </w:r>
    </w:p>
  </w:footnote>
  <w:footnote w:id="48">
    <w:p w:rsidR="00FB6180" w:rsidRDefault="00FB6180" w:rsidP="003A1542">
      <w:pPr>
        <w:pStyle w:val="FootnoteText"/>
      </w:pPr>
      <w:r>
        <w:rPr>
          <w:rStyle w:val="FootnoteReference"/>
        </w:rPr>
        <w:footnoteRef/>
      </w:r>
      <w:r>
        <w:t xml:space="preserve"> Choudhury, </w:t>
      </w:r>
      <w:r>
        <w:rPr>
          <w:i/>
        </w:rPr>
        <w:t xml:space="preserve">Convents and Nuns in Eighteenth-Century French Politics and Culture, </w:t>
      </w:r>
      <w:r>
        <w:t>p. 157.</w:t>
      </w:r>
    </w:p>
  </w:footnote>
  <w:footnote w:id="49">
    <w:p w:rsidR="00FB6180" w:rsidRPr="00D95E17" w:rsidRDefault="00FB6180" w:rsidP="009E16F5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D95E17">
        <w:rPr>
          <w:lang w:val="fr-FR"/>
        </w:rPr>
        <w:t xml:space="preserve"> </w:t>
      </w:r>
      <w:r w:rsidRPr="0064141E">
        <w:rPr>
          <w:lang w:val="fr-FR"/>
        </w:rPr>
        <w:t xml:space="preserve">Monvel, </w:t>
      </w:r>
      <w:r w:rsidRPr="0064141E">
        <w:rPr>
          <w:i/>
          <w:lang w:val="fr-FR"/>
        </w:rPr>
        <w:t xml:space="preserve">Les Victimes Cloitrées, </w:t>
      </w:r>
      <w:r>
        <w:rPr>
          <w:lang w:val="fr-FR"/>
        </w:rPr>
        <w:t>(Acte IV, Sc</w:t>
      </w:r>
      <w:r>
        <w:rPr>
          <w:rFonts w:cs="Times New Roman"/>
          <w:lang w:val="fr-FR"/>
        </w:rPr>
        <w:t>è</w:t>
      </w:r>
      <w:r>
        <w:rPr>
          <w:lang w:val="fr-FR"/>
        </w:rPr>
        <w:t>ne V).</w:t>
      </w:r>
    </w:p>
  </w:footnote>
  <w:footnote w:id="50">
    <w:p w:rsidR="00FB6180" w:rsidRPr="00F73C7C" w:rsidRDefault="00FB6180" w:rsidP="009E16F5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F73C7C">
        <w:rPr>
          <w:lang w:val="fr-FR"/>
        </w:rPr>
        <w:t xml:space="preserve"> </w:t>
      </w:r>
      <w:r w:rsidRPr="00C3022A">
        <w:rPr>
          <w:rFonts w:cs="Times New Roman"/>
          <w:lang w:val="fr-FR"/>
        </w:rPr>
        <w:t xml:space="preserve">Pigault-Lebrun, </w:t>
      </w:r>
      <w:r w:rsidRPr="00C3022A">
        <w:rPr>
          <w:rFonts w:cs="Times New Roman"/>
          <w:i/>
          <w:lang w:val="fr-FR"/>
        </w:rPr>
        <w:t>Les Dragons et les Bénédictines,</w:t>
      </w:r>
      <w:r w:rsidRPr="00C3022A">
        <w:rPr>
          <w:rFonts w:cs="Times New Roman"/>
          <w:lang w:val="fr-FR"/>
        </w:rPr>
        <w:t xml:space="preserve"> </w:t>
      </w:r>
      <w:r>
        <w:rPr>
          <w:rFonts w:cs="Times New Roman"/>
          <w:lang w:val="fr-FR"/>
        </w:rPr>
        <w:t>(Acte I, Scène II).</w:t>
      </w:r>
    </w:p>
  </w:footnote>
  <w:footnote w:id="51">
    <w:p w:rsidR="00FB6180" w:rsidRDefault="00FB6180" w:rsidP="00EE019D">
      <w:pPr>
        <w:pStyle w:val="FootnoteText"/>
      </w:pPr>
      <w:r>
        <w:rPr>
          <w:rStyle w:val="FootnoteReference"/>
        </w:rPr>
        <w:footnoteRef/>
      </w:r>
      <w:r>
        <w:t xml:space="preserve"> Joan B. Landes, ‘Representing the Body Politic: The Paradox of Gender in the Graphic Politics of the French Revolution’ in ed. Sara E. Melser and Leslie W. Rabine, </w:t>
      </w:r>
      <w:r>
        <w:rPr>
          <w:i/>
        </w:rPr>
        <w:t>Rebel Daughters: Women and the French Revolution</w:t>
      </w:r>
      <w:r>
        <w:t>, (Oxford, 1992), p. 18.</w:t>
      </w:r>
    </w:p>
  </w:footnote>
  <w:footnote w:id="52">
    <w:p w:rsidR="00FB6180" w:rsidRDefault="00FB6180" w:rsidP="00177523">
      <w:pPr>
        <w:pStyle w:val="FootnoteText"/>
      </w:pPr>
      <w:r>
        <w:rPr>
          <w:rStyle w:val="FootnoteReference"/>
        </w:rPr>
        <w:footnoteRef/>
      </w:r>
      <w:r>
        <w:t xml:space="preserve"> Marina Warner, </w:t>
      </w:r>
      <w:r>
        <w:rPr>
          <w:i/>
        </w:rPr>
        <w:t xml:space="preserve">Monuments and Maidens: The Allegory of the Female </w:t>
      </w:r>
      <w:r w:rsidR="00545716">
        <w:rPr>
          <w:i/>
        </w:rPr>
        <w:t xml:space="preserve">Form </w:t>
      </w:r>
      <w:r w:rsidR="00545716">
        <w:t>(</w:t>
      </w:r>
      <w:r>
        <w:t xml:space="preserve">Ney York, Atheneum, 1985), xix-xx in Joan B. Landes, ‘Representing the Body Politic: The Paradox of Gender in the Graphic Politics of the French Revolution’ in ed. Sara E. Melser and Leslie W. Rabine, </w:t>
      </w:r>
      <w:r>
        <w:rPr>
          <w:i/>
        </w:rPr>
        <w:t>Rebel Daughters: Women and the French Revolution</w:t>
      </w:r>
      <w:r>
        <w:t>, (New York: Oxford University Press, 1992), p. 29.</w:t>
      </w:r>
    </w:p>
  </w:footnote>
  <w:footnote w:id="53">
    <w:p w:rsidR="00FB6180" w:rsidRPr="008D5204" w:rsidRDefault="00FB6180">
      <w:pPr>
        <w:pStyle w:val="FootnoteText"/>
      </w:pPr>
      <w:r>
        <w:rPr>
          <w:rStyle w:val="FootnoteReference"/>
        </w:rPr>
        <w:footnoteRef/>
      </w:r>
      <w:r>
        <w:t xml:space="preserve"> Jane Abray, ‘Feminism in the French Revolution’ in </w:t>
      </w:r>
      <w:r>
        <w:rPr>
          <w:i/>
        </w:rPr>
        <w:t xml:space="preserve">The American Historical Review, </w:t>
      </w:r>
      <w:r>
        <w:t>Volume 80, Number 1, (February, 1975), 43-62, p. 50.</w:t>
      </w:r>
    </w:p>
  </w:footnote>
  <w:footnote w:id="54">
    <w:p w:rsidR="00FB6180" w:rsidRDefault="00FB6180" w:rsidP="006A17B1">
      <w:pPr>
        <w:pStyle w:val="FootnoteText"/>
      </w:pPr>
      <w:r>
        <w:rPr>
          <w:rStyle w:val="FootnoteReference"/>
        </w:rPr>
        <w:footnoteRef/>
      </w:r>
      <w:r>
        <w:t xml:space="preserve"> Levy and Applewhite, ‘Women and Militant Citizenship in Revolutionary Paris,’ p. 88.</w:t>
      </w:r>
    </w:p>
  </w:footnote>
  <w:footnote w:id="55">
    <w:p w:rsidR="00FB6180" w:rsidRPr="003E6E01" w:rsidRDefault="00FB6180" w:rsidP="00A40B15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3E6E01">
        <w:rPr>
          <w:lang w:val="fr-FR"/>
        </w:rPr>
        <w:t xml:space="preserve"> De Gouges, </w:t>
      </w:r>
      <w:r w:rsidRPr="003E6E01">
        <w:rPr>
          <w:i/>
          <w:lang w:val="fr-FR"/>
        </w:rPr>
        <w:t>Le Couvent,</w:t>
      </w:r>
      <w:r w:rsidRPr="003E6E01">
        <w:rPr>
          <w:lang w:val="fr-FR"/>
        </w:rPr>
        <w:t xml:space="preserve"> </w:t>
      </w:r>
      <w:r>
        <w:rPr>
          <w:lang w:val="fr-FR"/>
        </w:rPr>
        <w:t>(</w:t>
      </w:r>
      <w:r w:rsidRPr="003E6E01">
        <w:rPr>
          <w:lang w:val="fr-FR"/>
        </w:rPr>
        <w:t>Acte I, Sc</w:t>
      </w:r>
      <w:r>
        <w:rPr>
          <w:rFonts w:cs="Times New Roman"/>
          <w:lang w:val="fr-FR"/>
        </w:rPr>
        <w:t>è</w:t>
      </w:r>
      <w:r w:rsidRPr="003E6E01">
        <w:rPr>
          <w:lang w:val="fr-FR"/>
        </w:rPr>
        <w:t>ne I</w:t>
      </w:r>
      <w:r>
        <w:rPr>
          <w:lang w:val="fr-FR"/>
        </w:rPr>
        <w:t>I).</w:t>
      </w:r>
    </w:p>
  </w:footnote>
  <w:footnote w:id="56">
    <w:p w:rsidR="00FB6180" w:rsidRPr="00B87ECB" w:rsidRDefault="00FB6180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3D7FE0">
        <w:rPr>
          <w:lang w:val="fr-FR"/>
        </w:rPr>
        <w:t xml:space="preserve"> </w:t>
      </w:r>
      <w:r w:rsidRPr="00B87ECB">
        <w:rPr>
          <w:lang w:val="fr-FR"/>
        </w:rPr>
        <w:t xml:space="preserve">Pigault-Lebrun, </w:t>
      </w:r>
      <w:r w:rsidRPr="00B87ECB">
        <w:rPr>
          <w:i/>
          <w:lang w:val="fr-FR"/>
        </w:rPr>
        <w:t xml:space="preserve">Les Dragons et les </w:t>
      </w:r>
      <w:r w:rsidR="00545716" w:rsidRPr="00B87ECB">
        <w:rPr>
          <w:i/>
          <w:lang w:val="fr-FR"/>
        </w:rPr>
        <w:t>Bénédictines</w:t>
      </w:r>
      <w:r w:rsidR="00B87ECB" w:rsidRPr="00B87ECB">
        <w:rPr>
          <w:i/>
          <w:lang w:val="fr-FR"/>
        </w:rPr>
        <w:t>,</w:t>
      </w:r>
      <w:r w:rsidR="00B87ECB" w:rsidRPr="00B87ECB">
        <w:rPr>
          <w:lang w:val="fr-FR"/>
        </w:rPr>
        <w:t xml:space="preserve"> (Acte I, Scène VIII)</w:t>
      </w:r>
    </w:p>
  </w:footnote>
  <w:footnote w:id="57">
    <w:p w:rsidR="00FB6180" w:rsidRPr="003A69F9" w:rsidRDefault="00FB6180">
      <w:pPr>
        <w:pStyle w:val="FootnoteText"/>
      </w:pPr>
      <w:r>
        <w:rPr>
          <w:rStyle w:val="FootnoteReference"/>
        </w:rPr>
        <w:footnoteRef/>
      </w:r>
      <w:r>
        <w:t xml:space="preserve"> Picard, </w:t>
      </w:r>
      <w:r>
        <w:rPr>
          <w:i/>
        </w:rPr>
        <w:t>Les Visitandines,</w:t>
      </w:r>
      <w:r>
        <w:t xml:space="preserve"> (Acte I, Scene V).</w:t>
      </w:r>
    </w:p>
  </w:footnote>
  <w:footnote w:id="58">
    <w:p w:rsidR="00843D65" w:rsidRDefault="00843D65">
      <w:pPr>
        <w:pStyle w:val="FootnoteText"/>
      </w:pPr>
      <w:r>
        <w:rPr>
          <w:rStyle w:val="FootnoteReference"/>
        </w:rPr>
        <w:footnoteRef/>
      </w:r>
      <w:r>
        <w:t xml:space="preserve"> Hyslop, ‘The Theater during a Crisis: The Parisian Theatre during the Reign of Terror,’ p. </w:t>
      </w:r>
      <w:r w:rsidR="00E95339">
        <w:t>347</w:t>
      </w:r>
    </w:p>
  </w:footnote>
  <w:footnote w:id="59">
    <w:p w:rsidR="00FB6180" w:rsidRDefault="00FB6180" w:rsidP="00BD34DE">
      <w:pPr>
        <w:pStyle w:val="FootnoteText"/>
      </w:pPr>
      <w:r>
        <w:rPr>
          <w:rStyle w:val="FootnoteReference"/>
        </w:rPr>
        <w:footnoteRef/>
      </w:r>
      <w:r>
        <w:t xml:space="preserve"> Rivers, ‘Safe Sex: The </w:t>
      </w:r>
      <w:r w:rsidR="00545716">
        <w:t>Prophylactic</w:t>
      </w:r>
      <w:r>
        <w:t xml:space="preserve"> Walls of the Cloister in the French Libertine Convent Novel of the Eighteenth Century’ p. 387.</w:t>
      </w:r>
    </w:p>
  </w:footnote>
  <w:footnote w:id="60">
    <w:p w:rsidR="00FB6180" w:rsidRPr="00937049" w:rsidRDefault="00FB6180">
      <w:pPr>
        <w:pStyle w:val="FootnoteText"/>
      </w:pPr>
      <w:r>
        <w:rPr>
          <w:rStyle w:val="FootnoteReference"/>
        </w:rPr>
        <w:footnoteRef/>
      </w:r>
      <w:r w:rsidRPr="00937049">
        <w:t xml:space="preserve"> Murphree, ‘The Spectacle of the Cloiste</w:t>
      </w:r>
      <w:r>
        <w:t>r in French Revolutionary Drama.</w:t>
      </w:r>
      <w:r w:rsidRPr="00937049">
        <w:t>’</w:t>
      </w:r>
    </w:p>
  </w:footnote>
  <w:footnote w:id="61">
    <w:p w:rsidR="00FB6180" w:rsidRPr="00937049" w:rsidRDefault="00FB6180">
      <w:pPr>
        <w:pStyle w:val="FootnoteText"/>
      </w:pPr>
      <w:r>
        <w:rPr>
          <w:rStyle w:val="FootnoteReference"/>
        </w:rPr>
        <w:footnoteRef/>
      </w:r>
      <w:r w:rsidRPr="00937049">
        <w:t xml:space="preserve"> Murphree, ‘The Spectacle of the Cloiste</w:t>
      </w:r>
      <w:r>
        <w:t>r in French Revolutionary Drama.</w:t>
      </w:r>
      <w:r w:rsidRPr="00937049">
        <w:t>’</w:t>
      </w:r>
    </w:p>
  </w:footnote>
  <w:footnote w:id="62">
    <w:p w:rsidR="00FB6180" w:rsidRPr="00CD49B6" w:rsidRDefault="00FB6180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5D1395">
        <w:rPr>
          <w:lang w:val="fr-FR"/>
        </w:rPr>
        <w:t xml:space="preserve"> </w:t>
      </w:r>
      <w:r w:rsidRPr="00CD49B6">
        <w:rPr>
          <w:lang w:val="fr-FR"/>
        </w:rPr>
        <w:t>Stéphanie-Félicité Du Cre</w:t>
      </w:r>
      <w:r w:rsidRPr="00CD49B6">
        <w:rPr>
          <w:rFonts w:cs="Times New Roman"/>
          <w:lang w:val="fr-FR"/>
        </w:rPr>
        <w:t xml:space="preserve">st, </w:t>
      </w:r>
      <w:r w:rsidRPr="00CD49B6">
        <w:rPr>
          <w:lang w:val="fr-FR"/>
        </w:rPr>
        <w:t>(1746-1830</w:t>
      </w:r>
      <w:r>
        <w:rPr>
          <w:lang w:val="fr-FR"/>
        </w:rPr>
        <w:t>; comtesse de Genlis), ou Mme de Brular, ci-devant Mme de Sillery,</w:t>
      </w:r>
      <w:r w:rsidRPr="009C12AF">
        <w:rPr>
          <w:lang w:val="fr-FR"/>
        </w:rPr>
        <w:t xml:space="preserve"> </w:t>
      </w:r>
      <w:r w:rsidRPr="009C12AF">
        <w:rPr>
          <w:i/>
          <w:lang w:val="fr-FR"/>
        </w:rPr>
        <w:t>Discours</w:t>
      </w:r>
      <w:r>
        <w:rPr>
          <w:i/>
          <w:lang w:val="fr-FR"/>
        </w:rPr>
        <w:t xml:space="preserve"> sur la suppression des couvens de religieuses, et sur l’éducation publique des femmes,</w:t>
      </w:r>
      <w:r>
        <w:rPr>
          <w:lang w:val="fr-FR"/>
        </w:rPr>
        <w:t xml:space="preserve"> (Paris: Onfroy, 1790), p.</w:t>
      </w:r>
      <w:r>
        <w:rPr>
          <w:i/>
          <w:lang w:val="fr-FR"/>
        </w:rPr>
        <w:t xml:space="preserve"> </w:t>
      </w:r>
      <w:r>
        <w:rPr>
          <w:lang w:val="fr-FR"/>
        </w:rPr>
        <w:t>2.</w:t>
      </w:r>
    </w:p>
  </w:footnote>
  <w:footnote w:id="63">
    <w:p w:rsidR="00FB6180" w:rsidRPr="00EA72BF" w:rsidRDefault="00FB6180" w:rsidP="003E6F74">
      <w:pPr>
        <w:pStyle w:val="FootnoteText"/>
      </w:pPr>
      <w:r>
        <w:rPr>
          <w:rStyle w:val="FootnoteReference"/>
        </w:rPr>
        <w:footnoteRef/>
      </w:r>
      <w:r w:rsidRPr="00EA72BF">
        <w:t xml:space="preserve"> </w:t>
      </w:r>
      <w:r w:rsidRPr="00937049">
        <w:t xml:space="preserve">Murphree, ‘The Spectacle of the Cloister in </w:t>
      </w:r>
      <w:r>
        <w:t>French Revolutionary Drama.</w:t>
      </w:r>
      <w:r w:rsidRPr="00937049">
        <w:t>’</w:t>
      </w:r>
    </w:p>
  </w:footnote>
  <w:footnote w:id="64">
    <w:p w:rsidR="00FB6180" w:rsidRDefault="00FB6180" w:rsidP="00B16C9E">
      <w:pPr>
        <w:pStyle w:val="FootnoteText"/>
      </w:pPr>
      <w:r>
        <w:rPr>
          <w:rStyle w:val="FootnoteReference"/>
        </w:rPr>
        <w:footnoteRef/>
      </w:r>
      <w:r>
        <w:t xml:space="preserve"> Choudhury, </w:t>
      </w:r>
      <w:r>
        <w:rPr>
          <w:i/>
        </w:rPr>
        <w:t xml:space="preserve">Convents and Nuns in Eighteenth-Century French Politics and Culture, </w:t>
      </w:r>
      <w:r>
        <w:t>p. 160.</w:t>
      </w:r>
    </w:p>
  </w:footnote>
  <w:footnote w:id="65">
    <w:p w:rsidR="00FB6180" w:rsidRPr="00FE6593" w:rsidRDefault="00FB6180" w:rsidP="00110522">
      <w:pPr>
        <w:pStyle w:val="FootnoteText"/>
      </w:pPr>
      <w:r>
        <w:rPr>
          <w:rStyle w:val="FootnoteReference"/>
        </w:rPr>
        <w:footnoteRef/>
      </w:r>
      <w:r w:rsidRPr="00FE6593">
        <w:t xml:space="preserve"> Ford, </w:t>
      </w:r>
      <w:r w:rsidRPr="00FE6593">
        <w:rPr>
          <w:i/>
        </w:rPr>
        <w:t>Divided Houses,</w:t>
      </w:r>
      <w:r w:rsidRPr="00FE6593">
        <w:t xml:space="preserve"> p. 86</w:t>
      </w:r>
      <w:r>
        <w:t>.</w:t>
      </w:r>
    </w:p>
  </w:footnote>
  <w:footnote w:id="66">
    <w:p w:rsidR="00FB6180" w:rsidRPr="00810091" w:rsidRDefault="00FB6180">
      <w:pPr>
        <w:pStyle w:val="FootnoteText"/>
      </w:pPr>
      <w:r>
        <w:rPr>
          <w:rStyle w:val="FootnoteReference"/>
        </w:rPr>
        <w:footnoteRef/>
      </w:r>
      <w:r w:rsidRPr="00810091">
        <w:t xml:space="preserve"> </w:t>
      </w:r>
      <w:r>
        <w:t>Christi</w:t>
      </w:r>
      <w:r w:rsidRPr="00810091">
        <w:t>n</w:t>
      </w:r>
      <w:r>
        <w:t>e</w:t>
      </w:r>
      <w:r w:rsidRPr="00810091">
        <w:t xml:space="preserve"> Roulston, ‘Separating the Inseparables: Female Friendship and Its Discontents</w:t>
      </w:r>
      <w:r>
        <w:t xml:space="preserve"> in Eighteenth-Century France’, in </w:t>
      </w:r>
      <w:r>
        <w:rPr>
          <w:i/>
        </w:rPr>
        <w:t>Eighteenth-Century Studies,</w:t>
      </w:r>
      <w:r>
        <w:t xml:space="preserve"> Volume 32, Number 2, (1998-99) 215-231, p. 240.</w:t>
      </w:r>
    </w:p>
  </w:footnote>
  <w:footnote w:id="67">
    <w:p w:rsidR="00FB6180" w:rsidRPr="00C3022A" w:rsidRDefault="00FB6180" w:rsidP="002A4B08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C3022A">
        <w:rPr>
          <w:lang w:val="fr-FR"/>
        </w:rPr>
        <w:t xml:space="preserve"> </w:t>
      </w:r>
      <w:r w:rsidRPr="00C3022A">
        <w:rPr>
          <w:rFonts w:cs="Times New Roman"/>
          <w:lang w:val="fr-FR"/>
        </w:rPr>
        <w:t xml:space="preserve">Pigault-Lebrun, </w:t>
      </w:r>
      <w:r w:rsidRPr="00C3022A">
        <w:rPr>
          <w:rFonts w:cs="Times New Roman"/>
          <w:i/>
          <w:lang w:val="fr-FR"/>
        </w:rPr>
        <w:t>Les Dragons et les Bénédictines,</w:t>
      </w:r>
      <w:r w:rsidRPr="00C3022A">
        <w:rPr>
          <w:rFonts w:cs="Times New Roman"/>
          <w:lang w:val="fr-FR"/>
        </w:rPr>
        <w:t xml:space="preserve"> </w:t>
      </w:r>
      <w:r>
        <w:rPr>
          <w:rFonts w:cs="Times New Roman"/>
          <w:lang w:val="fr-FR"/>
        </w:rPr>
        <w:t>(Acte I, Scène II).</w:t>
      </w:r>
    </w:p>
  </w:footnote>
  <w:footnote w:id="68">
    <w:p w:rsidR="00FB6180" w:rsidRPr="002A4B08" w:rsidRDefault="00FB6180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2A4B08">
        <w:rPr>
          <w:lang w:val="fr-FR"/>
        </w:rPr>
        <w:t xml:space="preserve"> </w:t>
      </w:r>
      <w:r>
        <w:rPr>
          <w:lang w:val="fr-FR"/>
        </w:rPr>
        <w:t>Pig</w:t>
      </w:r>
      <w:r w:rsidRPr="002A4B08">
        <w:rPr>
          <w:lang w:val="fr-FR"/>
        </w:rPr>
        <w:t xml:space="preserve">ault-Lebrun, </w:t>
      </w:r>
      <w:r w:rsidRPr="002A4B08">
        <w:rPr>
          <w:i/>
          <w:lang w:val="fr-FR"/>
        </w:rPr>
        <w:t>Les Dragons et les Bénédictines,</w:t>
      </w:r>
      <w:r>
        <w:rPr>
          <w:lang w:val="fr-FR"/>
        </w:rPr>
        <w:t xml:space="preserve"> (Acte I, Sc</w:t>
      </w:r>
      <w:r>
        <w:rPr>
          <w:rFonts w:cs="Times New Roman"/>
          <w:lang w:val="fr-FR"/>
        </w:rPr>
        <w:t>ène XXII).</w:t>
      </w:r>
    </w:p>
  </w:footnote>
  <w:footnote w:id="69">
    <w:p w:rsidR="00FB6180" w:rsidRPr="00E01335" w:rsidRDefault="00FB6180" w:rsidP="009B22D1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E01335">
        <w:rPr>
          <w:lang w:val="fr-FR"/>
        </w:rPr>
        <w:t xml:space="preserve"> </w:t>
      </w:r>
      <w:r>
        <w:rPr>
          <w:lang w:val="fr-FR"/>
        </w:rPr>
        <w:t xml:space="preserve">Louis Moland, ‘Introduction’, in </w:t>
      </w:r>
      <w:r w:rsidRPr="00E01335">
        <w:rPr>
          <w:i/>
          <w:lang w:val="fr-FR"/>
        </w:rPr>
        <w:t>Théâtre de la Révolution ou choix de pièces de théâtre qui on fait sensation pendant la période révolutionnaire,</w:t>
      </w:r>
      <w:r>
        <w:rPr>
          <w:lang w:val="fr-FR"/>
        </w:rPr>
        <w:t xml:space="preserve"> Garnier Frères, Paris, 1877, p. ix.</w:t>
      </w:r>
    </w:p>
  </w:footnote>
  <w:footnote w:id="70">
    <w:p w:rsidR="00FB6180" w:rsidRPr="00C94471" w:rsidRDefault="00FB6180" w:rsidP="003E6F74">
      <w:pPr>
        <w:pStyle w:val="FootnoteText"/>
      </w:pPr>
      <w:r>
        <w:rPr>
          <w:rStyle w:val="FootnoteReference"/>
        </w:rPr>
        <w:footnoteRef/>
      </w:r>
      <w:r>
        <w:t xml:space="preserve"> Walker, ‘“Going against some forcible wind,” </w:t>
      </w:r>
      <w:r w:rsidRPr="00CD49B6">
        <w:t>p. 136</w:t>
      </w:r>
      <w:r>
        <w:t>.</w:t>
      </w:r>
    </w:p>
  </w:footnote>
  <w:footnote w:id="71">
    <w:p w:rsidR="00FB6180" w:rsidRDefault="00FB6180" w:rsidP="003C4E66">
      <w:pPr>
        <w:pStyle w:val="FootnoteText"/>
      </w:pPr>
      <w:r>
        <w:rPr>
          <w:rStyle w:val="FootnoteReference"/>
        </w:rPr>
        <w:footnoteRef/>
      </w:r>
      <w:r>
        <w:t xml:space="preserve"> William Doyle, </w:t>
      </w:r>
      <w:r>
        <w:rPr>
          <w:i/>
        </w:rPr>
        <w:t xml:space="preserve">The Oxford History of the French Revolution, Second Edition, </w:t>
      </w:r>
      <w:r>
        <w:t>(New York: Oxford University Press, 2002), p. 397.</w:t>
      </w:r>
    </w:p>
  </w:footnote>
  <w:footnote w:id="72">
    <w:p w:rsidR="00FB6180" w:rsidRDefault="00FB6180" w:rsidP="007F12AA">
      <w:pPr>
        <w:pStyle w:val="FootnoteText"/>
      </w:pPr>
      <w:r>
        <w:rPr>
          <w:rStyle w:val="FootnoteReference"/>
        </w:rPr>
        <w:footnoteRef/>
      </w:r>
      <w:r>
        <w:t xml:space="preserve"> Vanpée, ‘Perfoming Justice: The Trials of Olympe de Gouges,’ p. 56.</w:t>
      </w:r>
    </w:p>
  </w:footnote>
  <w:footnote w:id="73">
    <w:p w:rsidR="00FB6180" w:rsidRPr="00241138" w:rsidRDefault="00FB6180" w:rsidP="00F0505C">
      <w:pPr>
        <w:pStyle w:val="FootnoteText"/>
      </w:pPr>
      <w:r>
        <w:rPr>
          <w:rStyle w:val="FootnoteReference"/>
        </w:rPr>
        <w:footnoteRef/>
      </w:r>
      <w:r>
        <w:t xml:space="preserve"> Emmet Kennedy, ‘Taste and revolution: (French theater history)’ in </w:t>
      </w:r>
      <w:r>
        <w:rPr>
          <w:i/>
        </w:rPr>
        <w:t>Canadian Journal of History,</w:t>
      </w:r>
      <w:r>
        <w:t xml:space="preserve"> (December 1, 1997), 1-17, p. 1.</w:t>
      </w:r>
    </w:p>
  </w:footnote>
  <w:footnote w:id="74">
    <w:p w:rsidR="00FB6180" w:rsidRPr="00CF01A9" w:rsidRDefault="00FB6180" w:rsidP="00CF01A9">
      <w:pPr>
        <w:pStyle w:val="NormalWeb"/>
        <w:spacing w:before="0" w:beforeAutospacing="0" w:after="0" w:afterAutospacing="0"/>
        <w:rPr>
          <w:rFonts w:ascii="Trebuchet MS" w:hAnsi="Trebuchet MS"/>
          <w:color w:val="000000"/>
          <w:sz w:val="19"/>
          <w:szCs w:val="19"/>
          <w:lang w:val="fr-FR"/>
        </w:rPr>
      </w:pPr>
      <w:r>
        <w:rPr>
          <w:rStyle w:val="FootnoteReference"/>
        </w:rPr>
        <w:footnoteRef/>
      </w:r>
      <w:r w:rsidRPr="00CF01A9">
        <w:rPr>
          <w:lang w:val="fr-FR"/>
        </w:rPr>
        <w:t xml:space="preserve"> </w:t>
      </w:r>
      <w:r w:rsidRPr="00CF01A9">
        <w:rPr>
          <w:sz w:val="20"/>
          <w:szCs w:val="20"/>
          <w:lang w:val="fr-FR"/>
        </w:rPr>
        <w:t xml:space="preserve">Gilbert and Allouard, </w:t>
      </w:r>
      <w:r w:rsidRPr="00CF01A9">
        <w:rPr>
          <w:i/>
          <w:color w:val="000000"/>
          <w:sz w:val="20"/>
          <w:szCs w:val="20"/>
          <w:lang w:val="fr-FR"/>
        </w:rPr>
        <w:t xml:space="preserve">Théâtre choisi de L.-B. Picard (Nouvel. édition.), précédée d'une notice par M. Edouard Fournier ; et illustrée de quatre dessins en couleur, </w:t>
      </w:r>
      <w:r w:rsidRPr="00CF01A9">
        <w:rPr>
          <w:color w:val="000000"/>
          <w:sz w:val="20"/>
          <w:szCs w:val="20"/>
          <w:lang w:val="fr-FR"/>
        </w:rPr>
        <w:t>(Paris : Laplace, Sanchez, 1881), p.VI</w:t>
      </w:r>
      <w:r>
        <w:rPr>
          <w:color w:val="000000"/>
          <w:sz w:val="20"/>
          <w:szCs w:val="20"/>
          <w:lang w:val="fr-FR"/>
        </w:rPr>
        <w:t>.</w:t>
      </w:r>
    </w:p>
  </w:footnote>
  <w:footnote w:id="75">
    <w:p w:rsidR="00FB6180" w:rsidRPr="00E62B68" w:rsidRDefault="00FB6180" w:rsidP="00513896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E62B68">
        <w:rPr>
          <w:lang w:val="fr-FR"/>
        </w:rPr>
        <w:t xml:space="preserve"> </w:t>
      </w:r>
      <w:r w:rsidRPr="00604C1F">
        <w:rPr>
          <w:lang w:val="fr-FR"/>
        </w:rPr>
        <w:t xml:space="preserve">Picard, </w:t>
      </w:r>
      <w:r w:rsidRPr="00604C1F">
        <w:rPr>
          <w:i/>
          <w:lang w:val="fr-FR"/>
        </w:rPr>
        <w:t>Les Visitandines,</w:t>
      </w:r>
      <w:r w:rsidRPr="00604C1F">
        <w:rPr>
          <w:lang w:val="fr-FR"/>
        </w:rPr>
        <w:t xml:space="preserve"> (Acte I, Sc</w:t>
      </w:r>
      <w:r>
        <w:rPr>
          <w:rFonts w:cs="Times New Roman"/>
          <w:lang w:val="fr-FR"/>
        </w:rPr>
        <w:t>è</w:t>
      </w:r>
      <w:r>
        <w:rPr>
          <w:lang w:val="fr-FR"/>
        </w:rPr>
        <w:t>ne VI</w:t>
      </w:r>
      <w:r w:rsidRPr="00604C1F">
        <w:rPr>
          <w:lang w:val="fr-FR"/>
        </w:rPr>
        <w:t>)</w:t>
      </w:r>
      <w:r>
        <w:rPr>
          <w:lang w:val="fr-FR"/>
        </w:rPr>
        <w:t>.</w:t>
      </w:r>
    </w:p>
  </w:footnote>
  <w:footnote w:id="76">
    <w:p w:rsidR="00FB6180" w:rsidRPr="00E62B68" w:rsidRDefault="00FB6180" w:rsidP="00513896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E62B68">
        <w:rPr>
          <w:lang w:val="fr-FR"/>
        </w:rPr>
        <w:t xml:space="preserve"> </w:t>
      </w:r>
      <w:r w:rsidRPr="00604C1F">
        <w:rPr>
          <w:lang w:val="fr-FR"/>
        </w:rPr>
        <w:t xml:space="preserve">Picard, </w:t>
      </w:r>
      <w:r w:rsidRPr="00604C1F">
        <w:rPr>
          <w:i/>
          <w:lang w:val="fr-FR"/>
        </w:rPr>
        <w:t>Les Visitandines,</w:t>
      </w:r>
      <w:r w:rsidRPr="00604C1F">
        <w:rPr>
          <w:lang w:val="fr-FR"/>
        </w:rPr>
        <w:t xml:space="preserve"> (Acte I</w:t>
      </w:r>
      <w:r>
        <w:rPr>
          <w:lang w:val="fr-FR"/>
        </w:rPr>
        <w:t>I</w:t>
      </w:r>
      <w:r w:rsidRPr="00604C1F">
        <w:rPr>
          <w:lang w:val="fr-FR"/>
        </w:rPr>
        <w:t>, Sc</w:t>
      </w:r>
      <w:r>
        <w:rPr>
          <w:rFonts w:cs="Times New Roman"/>
          <w:lang w:val="fr-FR"/>
        </w:rPr>
        <w:t>è</w:t>
      </w:r>
      <w:r>
        <w:rPr>
          <w:lang w:val="fr-FR"/>
        </w:rPr>
        <w:t>ne III</w:t>
      </w:r>
      <w:r w:rsidRPr="00604C1F">
        <w:rPr>
          <w:lang w:val="fr-FR"/>
        </w:rPr>
        <w:t>)</w:t>
      </w:r>
      <w:r>
        <w:rPr>
          <w:lang w:val="fr-FR"/>
        </w:rPr>
        <w:t>.</w:t>
      </w:r>
    </w:p>
  </w:footnote>
  <w:footnote w:id="77">
    <w:p w:rsidR="00FB6180" w:rsidRDefault="00FB6180" w:rsidP="0050380F">
      <w:pPr>
        <w:pStyle w:val="FootnoteText"/>
      </w:pPr>
      <w:r>
        <w:rPr>
          <w:rStyle w:val="FootnoteReference"/>
        </w:rPr>
        <w:footnoteRef/>
      </w:r>
      <w:r>
        <w:t xml:space="preserve"> Choudhury, </w:t>
      </w:r>
      <w:r>
        <w:rPr>
          <w:i/>
        </w:rPr>
        <w:t xml:space="preserve">Convents and Nuns in Eighteenth-Century French Politics and Culture, </w:t>
      </w:r>
      <w:r>
        <w:t>p. 156.</w:t>
      </w:r>
    </w:p>
  </w:footnote>
  <w:footnote w:id="78">
    <w:p w:rsidR="00FB6180" w:rsidRPr="00722FD4" w:rsidRDefault="00FB6180" w:rsidP="00241C91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722FD4">
        <w:rPr>
          <w:lang w:val="fr-FR"/>
        </w:rPr>
        <w:t xml:space="preserve"> Choudhury, </w:t>
      </w:r>
      <w:r w:rsidRPr="00722FD4">
        <w:rPr>
          <w:i/>
          <w:lang w:val="fr-FR"/>
        </w:rPr>
        <w:t xml:space="preserve">Convents and Nuns in Eighteenth-Century French Politics and Culture, </w:t>
      </w:r>
      <w:r w:rsidRPr="00722FD4">
        <w:rPr>
          <w:lang w:val="fr-FR"/>
        </w:rPr>
        <w:t>p.</w:t>
      </w:r>
      <w:r>
        <w:rPr>
          <w:lang w:val="fr-FR"/>
        </w:rPr>
        <w:t xml:space="preserve"> </w:t>
      </w:r>
      <w:r w:rsidRPr="00722FD4">
        <w:rPr>
          <w:lang w:val="fr-FR"/>
        </w:rPr>
        <w:t xml:space="preserve">165 citing </w:t>
      </w:r>
      <w:r w:rsidRPr="00722FD4">
        <w:rPr>
          <w:i/>
          <w:lang w:val="fr-FR"/>
        </w:rPr>
        <w:t xml:space="preserve">adresse </w:t>
      </w:r>
      <w:r w:rsidRPr="00722FD4">
        <w:rPr>
          <w:rFonts w:cs="Times New Roman"/>
          <w:i/>
          <w:lang w:val="fr-FR"/>
        </w:rPr>
        <w:t>à</w:t>
      </w:r>
      <w:r w:rsidRPr="00722FD4">
        <w:rPr>
          <w:i/>
          <w:lang w:val="fr-FR"/>
        </w:rPr>
        <w:t xml:space="preserve"> l’Assemblée Nationale de la part des carmélites de France, de la reforme de Sainte-Th</w:t>
      </w:r>
      <w:r w:rsidRPr="00722FD4">
        <w:rPr>
          <w:rFonts w:cs="Times New Roman"/>
          <w:i/>
          <w:lang w:val="fr-FR"/>
        </w:rPr>
        <w:t>é</w:t>
      </w:r>
      <w:r w:rsidRPr="00722FD4">
        <w:rPr>
          <w:i/>
          <w:lang w:val="fr-FR"/>
        </w:rPr>
        <w:t>r</w:t>
      </w:r>
      <w:r w:rsidRPr="00722FD4">
        <w:rPr>
          <w:rFonts w:cs="Times New Roman"/>
          <w:i/>
          <w:lang w:val="fr-FR"/>
        </w:rPr>
        <w:t>è</w:t>
      </w:r>
      <w:r w:rsidRPr="00722FD4">
        <w:rPr>
          <w:i/>
          <w:lang w:val="fr-FR"/>
        </w:rPr>
        <w:t xml:space="preserve">se </w:t>
      </w:r>
      <w:r w:rsidRPr="00722FD4">
        <w:rPr>
          <w:lang w:val="fr-FR"/>
        </w:rPr>
        <w:t>(Marseilles: P.A.Faret, 1790), 3.</w:t>
      </w:r>
    </w:p>
  </w:footnote>
  <w:footnote w:id="79">
    <w:p w:rsidR="00FB6180" w:rsidRDefault="00FB6180" w:rsidP="0050380F">
      <w:pPr>
        <w:pStyle w:val="FootnoteText"/>
      </w:pPr>
      <w:r>
        <w:rPr>
          <w:rStyle w:val="FootnoteReference"/>
        </w:rPr>
        <w:footnoteRef/>
      </w:r>
      <w:r>
        <w:t xml:space="preserve"> Doyle, </w:t>
      </w:r>
      <w:r>
        <w:rPr>
          <w:i/>
        </w:rPr>
        <w:t xml:space="preserve">The Oxford History of the French Revolution, </w:t>
      </w:r>
      <w:r>
        <w:t>p. 396.</w:t>
      </w:r>
    </w:p>
  </w:footnote>
  <w:footnote w:id="80">
    <w:p w:rsidR="00545716" w:rsidRPr="0050380F" w:rsidRDefault="00545716" w:rsidP="0050380F">
      <w:pPr>
        <w:pStyle w:val="FootnoteText"/>
      </w:pPr>
      <w:r>
        <w:rPr>
          <w:rStyle w:val="FootnoteReference"/>
        </w:rPr>
        <w:footnoteRef/>
      </w:r>
      <w:r w:rsidRPr="0050380F">
        <w:t xml:space="preserve"> </w:t>
      </w:r>
      <w:r w:rsidRPr="00937049">
        <w:t>Murphree, ‘The Spectacle of the Cloiste</w:t>
      </w:r>
      <w:r>
        <w:t>r in French Revolutionary Drama.</w:t>
      </w:r>
      <w:r w:rsidRPr="00937049">
        <w:t>’</w:t>
      </w:r>
    </w:p>
  </w:footnote>
  <w:footnote w:id="81">
    <w:p w:rsidR="00FB6180" w:rsidRPr="00A3265D" w:rsidRDefault="00FB6180" w:rsidP="00A11C36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A3265D">
        <w:rPr>
          <w:lang w:val="fr-FR"/>
        </w:rPr>
        <w:t xml:space="preserve"> </w:t>
      </w:r>
      <w:r>
        <w:rPr>
          <w:lang w:val="fr-FR"/>
        </w:rPr>
        <w:t xml:space="preserve">De Souza, </w:t>
      </w:r>
      <w:r>
        <w:rPr>
          <w:i/>
          <w:lang w:val="fr-FR"/>
        </w:rPr>
        <w:t>Le Rire au Théâtre pendant la Révolution française,</w:t>
      </w:r>
      <w:r>
        <w:rPr>
          <w:lang w:val="fr-FR"/>
        </w:rPr>
        <w:t xml:space="preserve"> p. 67.</w:t>
      </w:r>
    </w:p>
  </w:footnote>
  <w:footnote w:id="82">
    <w:p w:rsidR="00FB6180" w:rsidRPr="00A7334A" w:rsidRDefault="00FB6180" w:rsidP="00513896">
      <w:pPr>
        <w:pStyle w:val="FootnoteText"/>
      </w:pPr>
      <w:r w:rsidRPr="00AC70A9">
        <w:rPr>
          <w:rStyle w:val="FootnoteReference"/>
        </w:rPr>
        <w:footnoteRef/>
      </w:r>
      <w:r w:rsidRPr="00AC70A9">
        <w:t xml:space="preserve"> </w:t>
      </w:r>
      <w:r w:rsidRPr="00AC70A9">
        <w:rPr>
          <w:rStyle w:val="apple-style-span"/>
          <w:rFonts w:cs="Times New Roman"/>
        </w:rPr>
        <w:t>Voltaire saw superstition as ‘</w:t>
      </w:r>
      <w:r w:rsidRPr="00AC70A9">
        <w:rPr>
          <w:rFonts w:cs="Times New Roman"/>
        </w:rPr>
        <w:t>Almost everything that goes beyond the </w:t>
      </w:r>
      <w:r w:rsidRPr="00AC70A9">
        <w:rPr>
          <w:rFonts w:cs="Times New Roman"/>
          <w:bCs/>
        </w:rPr>
        <w:t>adoration of a Supreme Being and submission of the heart to his orders…</w:t>
      </w:r>
      <w:r w:rsidRPr="00AC70A9">
        <w:rPr>
          <w:rStyle w:val="Heading1Char"/>
          <w:color w:val="000000"/>
          <w:sz w:val="27"/>
          <w:szCs w:val="27"/>
        </w:rPr>
        <w:t xml:space="preserve"> </w:t>
      </w:r>
      <w:r w:rsidRPr="00AC70A9">
        <w:rPr>
          <w:rStyle w:val="apple-style-span"/>
          <w:color w:val="000000"/>
        </w:rPr>
        <w:t>Do you believe that God will forget a murder you have committed if you bathe in a certain river, sacrifice a black sheep, or if someone says certain words over y</w:t>
      </w:r>
      <w:r w:rsidR="00892444">
        <w:rPr>
          <w:rStyle w:val="apple-style-span"/>
          <w:color w:val="000000"/>
        </w:rPr>
        <w:t xml:space="preserve">ou?’ meaning he was incredibly </w:t>
      </w:r>
      <w:r w:rsidRPr="00AC70A9">
        <w:rPr>
          <w:rStyle w:val="apple-style-span"/>
          <w:color w:val="000000"/>
        </w:rPr>
        <w:t xml:space="preserve">sceptical of the Catholic Church. </w:t>
      </w:r>
      <w:r w:rsidRPr="00AC70A9">
        <w:rPr>
          <w:rFonts w:cs="Times New Roman"/>
        </w:rPr>
        <w:t>Voltaire, ‘</w:t>
      </w:r>
      <w:r w:rsidRPr="00AC70A9">
        <w:rPr>
          <w:rStyle w:val="apple-style-span"/>
          <w:rFonts w:cs="Times New Roman"/>
          <w:i/>
          <w:iCs/>
        </w:rPr>
        <w:t>Déclaration de Voltaire</w:t>
      </w:r>
      <w:r w:rsidRPr="00AC70A9">
        <w:rPr>
          <w:rStyle w:val="apple-style-span"/>
          <w:rFonts w:cs="Times New Roman"/>
          <w:iCs/>
        </w:rPr>
        <w:t>’</w:t>
      </w:r>
      <w:r w:rsidRPr="00AC70A9">
        <w:rPr>
          <w:rStyle w:val="apple-style-span"/>
          <w:rFonts w:cs="Times New Roman"/>
          <w:i/>
          <w:iCs/>
        </w:rPr>
        <w:t>,</w:t>
      </w:r>
      <w:r w:rsidRPr="00AC70A9">
        <w:rPr>
          <w:rStyle w:val="apple-converted-space"/>
          <w:rFonts w:cs="Times New Roman"/>
        </w:rPr>
        <w:t xml:space="preserve"> </w:t>
      </w:r>
      <w:r w:rsidRPr="00AC70A9">
        <w:rPr>
          <w:rStyle w:val="apple-style-span"/>
          <w:rFonts w:cs="Times New Roman"/>
        </w:rPr>
        <w:t>note to his</w:t>
      </w:r>
      <w:r>
        <w:rPr>
          <w:rStyle w:val="apple-style-span"/>
          <w:rFonts w:cs="Times New Roman"/>
        </w:rPr>
        <w:t xml:space="preserve"> secretary, Jean-Louis Wagnière, 28 February 1778, at: </w:t>
      </w:r>
      <w:hyperlink r:id="rId3" w:history="1">
        <w:r w:rsidRPr="009C12AF">
          <w:rPr>
            <w:rStyle w:val="Hyperlink"/>
            <w:color w:val="365F91" w:themeColor="accent1" w:themeShade="BF"/>
          </w:rPr>
          <w:t>http://www.thecaveonline.com/APEH/voltairebiography.html</w:t>
        </w:r>
      </w:hyperlink>
      <w:r w:rsidRPr="009C12AF">
        <w:rPr>
          <w:rStyle w:val="apple-style-span"/>
        </w:rPr>
        <w:t>,</w:t>
      </w:r>
      <w:r>
        <w:rPr>
          <w:rStyle w:val="apple-style-span"/>
        </w:rPr>
        <w:t xml:space="preserve"> </w:t>
      </w:r>
      <w:r w:rsidRPr="00AC70A9">
        <w:rPr>
          <w:rStyle w:val="apple-style-span"/>
          <w:color w:val="000000"/>
        </w:rPr>
        <w:t>consulted on 24 April 2011.</w:t>
      </w:r>
    </w:p>
  </w:footnote>
  <w:footnote w:id="83">
    <w:p w:rsidR="00FB6180" w:rsidRPr="00D95E17" w:rsidRDefault="00FB6180" w:rsidP="00513896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D95E17">
        <w:rPr>
          <w:lang w:val="fr-FR"/>
        </w:rPr>
        <w:t xml:space="preserve"> </w:t>
      </w:r>
      <w:r w:rsidRPr="0064141E">
        <w:rPr>
          <w:lang w:val="fr-FR"/>
        </w:rPr>
        <w:t xml:space="preserve">Monvel, </w:t>
      </w:r>
      <w:r w:rsidRPr="0064141E">
        <w:rPr>
          <w:i/>
          <w:lang w:val="fr-FR"/>
        </w:rPr>
        <w:t xml:space="preserve">Les Victimes Cloitrées, </w:t>
      </w:r>
      <w:r>
        <w:rPr>
          <w:lang w:val="fr-FR"/>
        </w:rPr>
        <w:t>(Acte IV, Sc</w:t>
      </w:r>
      <w:r>
        <w:rPr>
          <w:rFonts w:cs="Times New Roman"/>
          <w:lang w:val="fr-FR"/>
        </w:rPr>
        <w:t>è</w:t>
      </w:r>
      <w:r>
        <w:rPr>
          <w:lang w:val="fr-FR"/>
        </w:rPr>
        <w:t>ne V).</w:t>
      </w:r>
    </w:p>
  </w:footnote>
  <w:footnote w:id="84">
    <w:p w:rsidR="00FB6180" w:rsidRDefault="00FB6180" w:rsidP="00513896">
      <w:pPr>
        <w:pStyle w:val="FootnoteText"/>
      </w:pPr>
      <w:r>
        <w:rPr>
          <w:rStyle w:val="FootnoteReference"/>
        </w:rPr>
        <w:footnoteRef/>
      </w:r>
      <w:r>
        <w:t xml:space="preserve"> Hunt, </w:t>
      </w:r>
      <w:r>
        <w:rPr>
          <w:i/>
        </w:rPr>
        <w:t xml:space="preserve">Politics, Culture, and Class in the French Revolution, </w:t>
      </w:r>
      <w:r>
        <w:t>p. 28.</w:t>
      </w:r>
    </w:p>
  </w:footnote>
  <w:footnote w:id="85">
    <w:p w:rsidR="00FB6180" w:rsidRDefault="00FB6180" w:rsidP="00693A3C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937049">
        <w:t>Murphree, ‘The Spectacle of the Cloiste</w:t>
      </w:r>
      <w:r>
        <w:t>r in French Revolutionary Drama.</w:t>
      </w:r>
      <w:r w:rsidRPr="00937049">
        <w:t>’</w:t>
      </w:r>
    </w:p>
  </w:footnote>
  <w:footnote w:id="86">
    <w:p w:rsidR="00FB6180" w:rsidRDefault="00FB6180" w:rsidP="00FC1FA2">
      <w:pPr>
        <w:pStyle w:val="FootnoteText"/>
      </w:pPr>
      <w:r>
        <w:rPr>
          <w:rStyle w:val="FootnoteReference"/>
        </w:rPr>
        <w:footnoteRef/>
      </w:r>
      <w:r>
        <w:t xml:space="preserve"> Choudhury, </w:t>
      </w:r>
      <w:r>
        <w:rPr>
          <w:i/>
        </w:rPr>
        <w:t xml:space="preserve">Convents and Nuns in Eighteenth-Century French Politics and Culture, </w:t>
      </w:r>
      <w:r>
        <w:t>p. 184.</w:t>
      </w:r>
    </w:p>
  </w:footnote>
  <w:footnote w:id="87">
    <w:p w:rsidR="00FB6180" w:rsidRPr="00577325" w:rsidRDefault="00FB6180" w:rsidP="00F82177">
      <w:pPr>
        <w:pStyle w:val="FootnoteText"/>
      </w:pPr>
      <w:r>
        <w:rPr>
          <w:rStyle w:val="FootnoteReference"/>
        </w:rPr>
        <w:footnoteRef/>
      </w:r>
      <w:r>
        <w:t xml:space="preserve"> Choudhury, </w:t>
      </w:r>
      <w:r>
        <w:rPr>
          <w:i/>
        </w:rPr>
        <w:t xml:space="preserve">Convents and </w:t>
      </w:r>
      <w:r w:rsidRPr="00FB7DF4">
        <w:rPr>
          <w:i/>
        </w:rPr>
        <w:t xml:space="preserve">Nuns in Eighteenth-Century French Politics and Culture, </w:t>
      </w:r>
      <w:r w:rsidRPr="00FB7DF4">
        <w:t>p. 182 and Olwen H</w:t>
      </w:r>
      <w:r>
        <w:t>.</w:t>
      </w:r>
      <w:r w:rsidRPr="00FB7DF4">
        <w:t xml:space="preserve"> Hufton, </w:t>
      </w:r>
      <w:r w:rsidRPr="00FB7DF4">
        <w:rPr>
          <w:i/>
        </w:rPr>
        <w:t xml:space="preserve">Women and the Limits of Citizenship in the French Revolution: The Donald G. Creighton Lectures, 1989, </w:t>
      </w:r>
      <w:r w:rsidRPr="00FB7DF4">
        <w:t>(London: University of Toronto Press, 1992), p.108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77648756"/>
      <w:docPartObj>
        <w:docPartGallery w:val="Page Numbers (Top of Page)"/>
        <w:docPartUnique/>
      </w:docPartObj>
    </w:sdtPr>
    <w:sdtEndPr/>
    <w:sdtContent>
      <w:p w:rsidR="00FA4F65" w:rsidRDefault="00FB6180" w:rsidP="008D18D2">
        <w:pPr>
          <w:pStyle w:val="Header"/>
          <w:rPr>
            <w:b/>
            <w:bCs/>
            <w:sz w:val="24"/>
            <w:szCs w:val="24"/>
          </w:rPr>
        </w:pPr>
        <w:r>
          <w:t>Student ID: 0707561</w:t>
        </w:r>
        <w:r>
          <w:tab/>
          <w:t xml:space="preserve"> FR322: Revolution and Empire</w:t>
        </w:r>
        <w:r>
          <w:tab/>
          <w:t xml:space="preserve">Page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 w:val="24"/>
            <w:szCs w:val="24"/>
          </w:rPr>
          <w:fldChar w:fldCharType="separate"/>
        </w:r>
        <w:r w:rsidR="001504BC">
          <w:rPr>
            <w:b/>
            <w:bCs/>
            <w:noProof/>
          </w:rPr>
          <w:t>22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of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 w:val="24"/>
            <w:szCs w:val="24"/>
          </w:rPr>
          <w:fldChar w:fldCharType="separate"/>
        </w:r>
        <w:r w:rsidR="001504BC">
          <w:rPr>
            <w:b/>
            <w:bCs/>
            <w:noProof/>
          </w:rPr>
          <w:t>22</w:t>
        </w:r>
        <w:r>
          <w:rPr>
            <w:b/>
            <w:bCs/>
            <w:sz w:val="24"/>
            <w:szCs w:val="24"/>
          </w:rPr>
          <w:fldChar w:fldCharType="end"/>
        </w:r>
      </w:p>
      <w:p w:rsidR="00FA4F65" w:rsidRDefault="00FA4F65" w:rsidP="008D18D2">
        <w:pPr>
          <w:pStyle w:val="Header"/>
          <w:rPr>
            <w:b/>
            <w:bCs/>
            <w:sz w:val="24"/>
            <w:szCs w:val="24"/>
          </w:rPr>
        </w:pPr>
      </w:p>
      <w:p w:rsidR="00FB6180" w:rsidRDefault="00A77F2D">
        <w:pPr>
          <w:pStyle w:val="Header"/>
        </w:pP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34E5D"/>
    <w:multiLevelType w:val="hybridMultilevel"/>
    <w:tmpl w:val="2F3467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B41062"/>
    <w:multiLevelType w:val="hybridMultilevel"/>
    <w:tmpl w:val="570AB1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A342DF"/>
    <w:multiLevelType w:val="hybridMultilevel"/>
    <w:tmpl w:val="576054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26412C"/>
    <w:multiLevelType w:val="hybridMultilevel"/>
    <w:tmpl w:val="ADA884D0"/>
    <w:lvl w:ilvl="0" w:tplc="D8B434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652087"/>
    <w:multiLevelType w:val="hybridMultilevel"/>
    <w:tmpl w:val="FFEC8D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BE6B0F"/>
    <w:multiLevelType w:val="hybridMultilevel"/>
    <w:tmpl w:val="F50696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D079B6"/>
    <w:multiLevelType w:val="hybridMultilevel"/>
    <w:tmpl w:val="1D2C7D08"/>
    <w:lvl w:ilvl="0" w:tplc="BDB4598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714B19"/>
    <w:multiLevelType w:val="hybridMultilevel"/>
    <w:tmpl w:val="83003C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6D5873"/>
    <w:multiLevelType w:val="hybridMultilevel"/>
    <w:tmpl w:val="F48C3CDA"/>
    <w:lvl w:ilvl="0" w:tplc="270A0108">
      <w:start w:val="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4FF6752"/>
    <w:multiLevelType w:val="hybridMultilevel"/>
    <w:tmpl w:val="F4BA32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A16BBE"/>
    <w:multiLevelType w:val="hybridMultilevel"/>
    <w:tmpl w:val="5B5EA51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8403C9A"/>
    <w:multiLevelType w:val="hybridMultilevel"/>
    <w:tmpl w:val="21A412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88C57A3"/>
    <w:multiLevelType w:val="hybridMultilevel"/>
    <w:tmpl w:val="4B30DF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9494766"/>
    <w:multiLevelType w:val="hybridMultilevel"/>
    <w:tmpl w:val="AB2056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94F13B8"/>
    <w:multiLevelType w:val="hybridMultilevel"/>
    <w:tmpl w:val="ADA2BB20"/>
    <w:lvl w:ilvl="0" w:tplc="6040106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AB5975"/>
    <w:multiLevelType w:val="hybridMultilevel"/>
    <w:tmpl w:val="0186AA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2EC715D"/>
    <w:multiLevelType w:val="hybridMultilevel"/>
    <w:tmpl w:val="9A9CBD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71523C"/>
    <w:multiLevelType w:val="hybridMultilevel"/>
    <w:tmpl w:val="35AA39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A3118AD"/>
    <w:multiLevelType w:val="hybridMultilevel"/>
    <w:tmpl w:val="E9F29522"/>
    <w:lvl w:ilvl="0" w:tplc="270A0108">
      <w:start w:val="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A6A2996"/>
    <w:multiLevelType w:val="hybridMultilevel"/>
    <w:tmpl w:val="217855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742B60"/>
    <w:multiLevelType w:val="hybridMultilevel"/>
    <w:tmpl w:val="707010BE"/>
    <w:lvl w:ilvl="0" w:tplc="6040106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BC47BA2"/>
    <w:multiLevelType w:val="hybridMultilevel"/>
    <w:tmpl w:val="84C4CE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FB13B25"/>
    <w:multiLevelType w:val="hybridMultilevel"/>
    <w:tmpl w:val="7B6EB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FF967FE"/>
    <w:multiLevelType w:val="hybridMultilevel"/>
    <w:tmpl w:val="B008D2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1686EF6"/>
    <w:multiLevelType w:val="hybridMultilevel"/>
    <w:tmpl w:val="35902A02"/>
    <w:lvl w:ilvl="0" w:tplc="270A0108">
      <w:start w:val="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9DC504A"/>
    <w:multiLevelType w:val="hybridMultilevel"/>
    <w:tmpl w:val="F3022102"/>
    <w:lvl w:ilvl="0" w:tplc="270A0108">
      <w:start w:val="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D224BFA"/>
    <w:multiLevelType w:val="hybridMultilevel"/>
    <w:tmpl w:val="B6BE26B2"/>
    <w:lvl w:ilvl="0" w:tplc="8BEC770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14"/>
  </w:num>
  <w:num w:numId="5">
    <w:abstractNumId w:val="19"/>
  </w:num>
  <w:num w:numId="6">
    <w:abstractNumId w:val="15"/>
  </w:num>
  <w:num w:numId="7">
    <w:abstractNumId w:val="1"/>
  </w:num>
  <w:num w:numId="8">
    <w:abstractNumId w:val="4"/>
  </w:num>
  <w:num w:numId="9">
    <w:abstractNumId w:val="10"/>
  </w:num>
  <w:num w:numId="10">
    <w:abstractNumId w:val="23"/>
  </w:num>
  <w:num w:numId="11">
    <w:abstractNumId w:val="20"/>
  </w:num>
  <w:num w:numId="12">
    <w:abstractNumId w:val="5"/>
  </w:num>
  <w:num w:numId="13">
    <w:abstractNumId w:val="22"/>
  </w:num>
  <w:num w:numId="14">
    <w:abstractNumId w:val="16"/>
  </w:num>
  <w:num w:numId="15">
    <w:abstractNumId w:val="3"/>
  </w:num>
  <w:num w:numId="16">
    <w:abstractNumId w:val="18"/>
  </w:num>
  <w:num w:numId="17">
    <w:abstractNumId w:val="24"/>
  </w:num>
  <w:num w:numId="18">
    <w:abstractNumId w:val="8"/>
  </w:num>
  <w:num w:numId="19">
    <w:abstractNumId w:val="25"/>
  </w:num>
  <w:num w:numId="20">
    <w:abstractNumId w:val="26"/>
  </w:num>
  <w:num w:numId="21">
    <w:abstractNumId w:val="2"/>
  </w:num>
  <w:num w:numId="22">
    <w:abstractNumId w:val="12"/>
  </w:num>
  <w:num w:numId="23">
    <w:abstractNumId w:val="7"/>
  </w:num>
  <w:num w:numId="24">
    <w:abstractNumId w:val="0"/>
  </w:num>
  <w:num w:numId="25">
    <w:abstractNumId w:val="21"/>
  </w:num>
  <w:num w:numId="26">
    <w:abstractNumId w:val="17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1BD1"/>
    <w:rsid w:val="00001397"/>
    <w:rsid w:val="000136D6"/>
    <w:rsid w:val="00022DF2"/>
    <w:rsid w:val="00027B7F"/>
    <w:rsid w:val="0004143D"/>
    <w:rsid w:val="00041E55"/>
    <w:rsid w:val="00043165"/>
    <w:rsid w:val="000652FD"/>
    <w:rsid w:val="00072FA9"/>
    <w:rsid w:val="00075AF9"/>
    <w:rsid w:val="00075B54"/>
    <w:rsid w:val="00080AFB"/>
    <w:rsid w:val="0008257C"/>
    <w:rsid w:val="00082F03"/>
    <w:rsid w:val="0009477B"/>
    <w:rsid w:val="000A07E2"/>
    <w:rsid w:val="000A2969"/>
    <w:rsid w:val="000A3FEF"/>
    <w:rsid w:val="000B0571"/>
    <w:rsid w:val="000B5730"/>
    <w:rsid w:val="000D3E8F"/>
    <w:rsid w:val="000E0300"/>
    <w:rsid w:val="000E169A"/>
    <w:rsid w:val="000F2A59"/>
    <w:rsid w:val="00102BF4"/>
    <w:rsid w:val="001056AF"/>
    <w:rsid w:val="00110522"/>
    <w:rsid w:val="00111808"/>
    <w:rsid w:val="0011716C"/>
    <w:rsid w:val="00123857"/>
    <w:rsid w:val="001401A8"/>
    <w:rsid w:val="00144ECF"/>
    <w:rsid w:val="00146209"/>
    <w:rsid w:val="00147FE5"/>
    <w:rsid w:val="001504BC"/>
    <w:rsid w:val="001527EC"/>
    <w:rsid w:val="00154D97"/>
    <w:rsid w:val="0015500D"/>
    <w:rsid w:val="001561B4"/>
    <w:rsid w:val="00161E32"/>
    <w:rsid w:val="00177523"/>
    <w:rsid w:val="0017762C"/>
    <w:rsid w:val="00177BD6"/>
    <w:rsid w:val="00192DB8"/>
    <w:rsid w:val="0019606E"/>
    <w:rsid w:val="001A1402"/>
    <w:rsid w:val="001C2EDB"/>
    <w:rsid w:val="001D271D"/>
    <w:rsid w:val="001D3A2C"/>
    <w:rsid w:val="001D415F"/>
    <w:rsid w:val="001D5C3D"/>
    <w:rsid w:val="001E11FB"/>
    <w:rsid w:val="001E2CDD"/>
    <w:rsid w:val="001E5CB5"/>
    <w:rsid w:val="001F6363"/>
    <w:rsid w:val="00202B3E"/>
    <w:rsid w:val="00203199"/>
    <w:rsid w:val="00214486"/>
    <w:rsid w:val="00224AA3"/>
    <w:rsid w:val="00237826"/>
    <w:rsid w:val="00240009"/>
    <w:rsid w:val="00241138"/>
    <w:rsid w:val="00241C91"/>
    <w:rsid w:val="002511EC"/>
    <w:rsid w:val="00264C72"/>
    <w:rsid w:val="00267BB3"/>
    <w:rsid w:val="00270479"/>
    <w:rsid w:val="00271838"/>
    <w:rsid w:val="0027310B"/>
    <w:rsid w:val="00282A16"/>
    <w:rsid w:val="00283C8C"/>
    <w:rsid w:val="00294BC3"/>
    <w:rsid w:val="00297001"/>
    <w:rsid w:val="002A2861"/>
    <w:rsid w:val="002A4B08"/>
    <w:rsid w:val="002A71A8"/>
    <w:rsid w:val="002C1FD0"/>
    <w:rsid w:val="002C6F41"/>
    <w:rsid w:val="002D2031"/>
    <w:rsid w:val="002D4772"/>
    <w:rsid w:val="002D7A01"/>
    <w:rsid w:val="002E1676"/>
    <w:rsid w:val="002F5470"/>
    <w:rsid w:val="00300C4A"/>
    <w:rsid w:val="00311FF6"/>
    <w:rsid w:val="0032681C"/>
    <w:rsid w:val="00340760"/>
    <w:rsid w:val="003430FC"/>
    <w:rsid w:val="003668C0"/>
    <w:rsid w:val="0037052A"/>
    <w:rsid w:val="00382FEF"/>
    <w:rsid w:val="00384A43"/>
    <w:rsid w:val="00385150"/>
    <w:rsid w:val="00385A5B"/>
    <w:rsid w:val="00387979"/>
    <w:rsid w:val="00395448"/>
    <w:rsid w:val="003A1542"/>
    <w:rsid w:val="003A69F9"/>
    <w:rsid w:val="003C1CCD"/>
    <w:rsid w:val="003C44B7"/>
    <w:rsid w:val="003C4E66"/>
    <w:rsid w:val="003C5C03"/>
    <w:rsid w:val="003D2137"/>
    <w:rsid w:val="003D3ECA"/>
    <w:rsid w:val="003D7FE0"/>
    <w:rsid w:val="003E646B"/>
    <w:rsid w:val="003E6E01"/>
    <w:rsid w:val="003E6F74"/>
    <w:rsid w:val="003E7448"/>
    <w:rsid w:val="003F332C"/>
    <w:rsid w:val="003F4E69"/>
    <w:rsid w:val="00422889"/>
    <w:rsid w:val="004228AC"/>
    <w:rsid w:val="0042536F"/>
    <w:rsid w:val="0042729B"/>
    <w:rsid w:val="00435117"/>
    <w:rsid w:val="004415DD"/>
    <w:rsid w:val="00442918"/>
    <w:rsid w:val="00447F14"/>
    <w:rsid w:val="00453698"/>
    <w:rsid w:val="00460FBD"/>
    <w:rsid w:val="00464406"/>
    <w:rsid w:val="004734C2"/>
    <w:rsid w:val="0048288B"/>
    <w:rsid w:val="004929E4"/>
    <w:rsid w:val="004935FF"/>
    <w:rsid w:val="00495A1C"/>
    <w:rsid w:val="004A6FEF"/>
    <w:rsid w:val="004A741E"/>
    <w:rsid w:val="004B02DD"/>
    <w:rsid w:val="004B1303"/>
    <w:rsid w:val="004D2703"/>
    <w:rsid w:val="004E0E52"/>
    <w:rsid w:val="004F1A6C"/>
    <w:rsid w:val="004F5AFE"/>
    <w:rsid w:val="004F60F9"/>
    <w:rsid w:val="00500650"/>
    <w:rsid w:val="0050380F"/>
    <w:rsid w:val="00511026"/>
    <w:rsid w:val="00511119"/>
    <w:rsid w:val="00512A8B"/>
    <w:rsid w:val="00513896"/>
    <w:rsid w:val="0053630D"/>
    <w:rsid w:val="00536676"/>
    <w:rsid w:val="00541336"/>
    <w:rsid w:val="00541BD1"/>
    <w:rsid w:val="00545716"/>
    <w:rsid w:val="00560536"/>
    <w:rsid w:val="00564BE1"/>
    <w:rsid w:val="0057095A"/>
    <w:rsid w:val="00571CA0"/>
    <w:rsid w:val="00577137"/>
    <w:rsid w:val="00577325"/>
    <w:rsid w:val="00584DF3"/>
    <w:rsid w:val="00585FA9"/>
    <w:rsid w:val="00586A27"/>
    <w:rsid w:val="0058736C"/>
    <w:rsid w:val="005910DA"/>
    <w:rsid w:val="0059758F"/>
    <w:rsid w:val="005A41F0"/>
    <w:rsid w:val="005D1395"/>
    <w:rsid w:val="005D4CEA"/>
    <w:rsid w:val="005D76A2"/>
    <w:rsid w:val="005E343F"/>
    <w:rsid w:val="005E7319"/>
    <w:rsid w:val="005F213B"/>
    <w:rsid w:val="005F424B"/>
    <w:rsid w:val="00602C8F"/>
    <w:rsid w:val="006055B1"/>
    <w:rsid w:val="00612373"/>
    <w:rsid w:val="00614378"/>
    <w:rsid w:val="00621F01"/>
    <w:rsid w:val="00625973"/>
    <w:rsid w:val="00625D07"/>
    <w:rsid w:val="00640F50"/>
    <w:rsid w:val="0064141E"/>
    <w:rsid w:val="006427DB"/>
    <w:rsid w:val="00644E71"/>
    <w:rsid w:val="006452F6"/>
    <w:rsid w:val="00646F82"/>
    <w:rsid w:val="00661FB8"/>
    <w:rsid w:val="00666989"/>
    <w:rsid w:val="006714A8"/>
    <w:rsid w:val="00675D6D"/>
    <w:rsid w:val="00676A1A"/>
    <w:rsid w:val="00683257"/>
    <w:rsid w:val="0068530A"/>
    <w:rsid w:val="00693A3C"/>
    <w:rsid w:val="00696A65"/>
    <w:rsid w:val="006A17B1"/>
    <w:rsid w:val="006A1C95"/>
    <w:rsid w:val="006B1F5D"/>
    <w:rsid w:val="006B6E1B"/>
    <w:rsid w:val="006D0590"/>
    <w:rsid w:val="006D54AE"/>
    <w:rsid w:val="0070061A"/>
    <w:rsid w:val="00705620"/>
    <w:rsid w:val="00723567"/>
    <w:rsid w:val="007237E2"/>
    <w:rsid w:val="00723ADF"/>
    <w:rsid w:val="0074017F"/>
    <w:rsid w:val="00740B04"/>
    <w:rsid w:val="007504A7"/>
    <w:rsid w:val="007517BF"/>
    <w:rsid w:val="007528C7"/>
    <w:rsid w:val="007550CC"/>
    <w:rsid w:val="00764FB2"/>
    <w:rsid w:val="00767764"/>
    <w:rsid w:val="00780314"/>
    <w:rsid w:val="007861A8"/>
    <w:rsid w:val="00787717"/>
    <w:rsid w:val="007938ED"/>
    <w:rsid w:val="007A4C9D"/>
    <w:rsid w:val="007B13CD"/>
    <w:rsid w:val="007C6EC9"/>
    <w:rsid w:val="007D41BE"/>
    <w:rsid w:val="007D53A4"/>
    <w:rsid w:val="007D5EED"/>
    <w:rsid w:val="007E55BC"/>
    <w:rsid w:val="007F12AA"/>
    <w:rsid w:val="00802867"/>
    <w:rsid w:val="00810091"/>
    <w:rsid w:val="00814D10"/>
    <w:rsid w:val="008159D3"/>
    <w:rsid w:val="00821C53"/>
    <w:rsid w:val="00825C76"/>
    <w:rsid w:val="00843D65"/>
    <w:rsid w:val="008478E3"/>
    <w:rsid w:val="0086358F"/>
    <w:rsid w:val="00863F49"/>
    <w:rsid w:val="00874956"/>
    <w:rsid w:val="00877CE5"/>
    <w:rsid w:val="008855AA"/>
    <w:rsid w:val="00892444"/>
    <w:rsid w:val="00896883"/>
    <w:rsid w:val="008B7F91"/>
    <w:rsid w:val="008C15CC"/>
    <w:rsid w:val="008C6D83"/>
    <w:rsid w:val="008D18D2"/>
    <w:rsid w:val="008D502D"/>
    <w:rsid w:val="008D5204"/>
    <w:rsid w:val="008E16D5"/>
    <w:rsid w:val="008E308D"/>
    <w:rsid w:val="008E6F80"/>
    <w:rsid w:val="008F080E"/>
    <w:rsid w:val="00900776"/>
    <w:rsid w:val="009015DE"/>
    <w:rsid w:val="00901A93"/>
    <w:rsid w:val="00905140"/>
    <w:rsid w:val="009113EF"/>
    <w:rsid w:val="009114CC"/>
    <w:rsid w:val="0091667E"/>
    <w:rsid w:val="0092452C"/>
    <w:rsid w:val="00927A35"/>
    <w:rsid w:val="00931F16"/>
    <w:rsid w:val="00937049"/>
    <w:rsid w:val="00937DCD"/>
    <w:rsid w:val="009440E0"/>
    <w:rsid w:val="009741FE"/>
    <w:rsid w:val="0098695C"/>
    <w:rsid w:val="00992EFF"/>
    <w:rsid w:val="009A2551"/>
    <w:rsid w:val="009B22D1"/>
    <w:rsid w:val="009B6393"/>
    <w:rsid w:val="009C12AF"/>
    <w:rsid w:val="009D0B2C"/>
    <w:rsid w:val="009E16F5"/>
    <w:rsid w:val="009E363B"/>
    <w:rsid w:val="009E676A"/>
    <w:rsid w:val="009F1549"/>
    <w:rsid w:val="009F5481"/>
    <w:rsid w:val="009F596E"/>
    <w:rsid w:val="009F5A21"/>
    <w:rsid w:val="00A067A9"/>
    <w:rsid w:val="00A11C36"/>
    <w:rsid w:val="00A20D68"/>
    <w:rsid w:val="00A2421E"/>
    <w:rsid w:val="00A34CCE"/>
    <w:rsid w:val="00A353B4"/>
    <w:rsid w:val="00A40B15"/>
    <w:rsid w:val="00A41D0C"/>
    <w:rsid w:val="00A516B1"/>
    <w:rsid w:val="00A5342E"/>
    <w:rsid w:val="00A57CC8"/>
    <w:rsid w:val="00A63545"/>
    <w:rsid w:val="00A7334A"/>
    <w:rsid w:val="00A75613"/>
    <w:rsid w:val="00A771A4"/>
    <w:rsid w:val="00A77F2D"/>
    <w:rsid w:val="00A91E61"/>
    <w:rsid w:val="00A96216"/>
    <w:rsid w:val="00AA2080"/>
    <w:rsid w:val="00AB5147"/>
    <w:rsid w:val="00AC70A9"/>
    <w:rsid w:val="00AD102C"/>
    <w:rsid w:val="00AE1379"/>
    <w:rsid w:val="00AE67B9"/>
    <w:rsid w:val="00AF29E7"/>
    <w:rsid w:val="00B00D51"/>
    <w:rsid w:val="00B041AC"/>
    <w:rsid w:val="00B05A78"/>
    <w:rsid w:val="00B16137"/>
    <w:rsid w:val="00B16C9E"/>
    <w:rsid w:val="00B21E6F"/>
    <w:rsid w:val="00B26A7F"/>
    <w:rsid w:val="00B33D73"/>
    <w:rsid w:val="00B33E29"/>
    <w:rsid w:val="00B51629"/>
    <w:rsid w:val="00B52D68"/>
    <w:rsid w:val="00B6565C"/>
    <w:rsid w:val="00B65B90"/>
    <w:rsid w:val="00B66EC7"/>
    <w:rsid w:val="00B80592"/>
    <w:rsid w:val="00B80E98"/>
    <w:rsid w:val="00B820F0"/>
    <w:rsid w:val="00B87ECB"/>
    <w:rsid w:val="00B90EEB"/>
    <w:rsid w:val="00BA537F"/>
    <w:rsid w:val="00BB3E48"/>
    <w:rsid w:val="00BB7E8B"/>
    <w:rsid w:val="00BC0B31"/>
    <w:rsid w:val="00BC4274"/>
    <w:rsid w:val="00BD34DE"/>
    <w:rsid w:val="00BD6970"/>
    <w:rsid w:val="00BD7C89"/>
    <w:rsid w:val="00C033BB"/>
    <w:rsid w:val="00C03BC3"/>
    <w:rsid w:val="00C10F99"/>
    <w:rsid w:val="00C12FD5"/>
    <w:rsid w:val="00C25888"/>
    <w:rsid w:val="00C265A7"/>
    <w:rsid w:val="00C272E0"/>
    <w:rsid w:val="00C3022A"/>
    <w:rsid w:val="00C35209"/>
    <w:rsid w:val="00C36146"/>
    <w:rsid w:val="00C4349F"/>
    <w:rsid w:val="00C469BC"/>
    <w:rsid w:val="00C553F7"/>
    <w:rsid w:val="00C56DAA"/>
    <w:rsid w:val="00C65E7A"/>
    <w:rsid w:val="00C728F1"/>
    <w:rsid w:val="00C80D9C"/>
    <w:rsid w:val="00C821D3"/>
    <w:rsid w:val="00C857D8"/>
    <w:rsid w:val="00C92027"/>
    <w:rsid w:val="00C94471"/>
    <w:rsid w:val="00C97AB6"/>
    <w:rsid w:val="00CA391C"/>
    <w:rsid w:val="00CA50CF"/>
    <w:rsid w:val="00CB0D84"/>
    <w:rsid w:val="00CB1FDE"/>
    <w:rsid w:val="00CC51B2"/>
    <w:rsid w:val="00CD49B6"/>
    <w:rsid w:val="00CD5D65"/>
    <w:rsid w:val="00CE1BE2"/>
    <w:rsid w:val="00CE2125"/>
    <w:rsid w:val="00CF01A9"/>
    <w:rsid w:val="00CF6A7D"/>
    <w:rsid w:val="00D00197"/>
    <w:rsid w:val="00D05F0B"/>
    <w:rsid w:val="00D06CF0"/>
    <w:rsid w:val="00D4315B"/>
    <w:rsid w:val="00D513DE"/>
    <w:rsid w:val="00D606D6"/>
    <w:rsid w:val="00D80C74"/>
    <w:rsid w:val="00D95EFE"/>
    <w:rsid w:val="00D97426"/>
    <w:rsid w:val="00DA0656"/>
    <w:rsid w:val="00DA2ADF"/>
    <w:rsid w:val="00DA2B82"/>
    <w:rsid w:val="00DB4E74"/>
    <w:rsid w:val="00DB5047"/>
    <w:rsid w:val="00DB50E2"/>
    <w:rsid w:val="00DC322D"/>
    <w:rsid w:val="00DC5DEE"/>
    <w:rsid w:val="00DC7E8C"/>
    <w:rsid w:val="00DD4808"/>
    <w:rsid w:val="00DE6929"/>
    <w:rsid w:val="00DF6A13"/>
    <w:rsid w:val="00E01335"/>
    <w:rsid w:val="00E21745"/>
    <w:rsid w:val="00E2443F"/>
    <w:rsid w:val="00E5087E"/>
    <w:rsid w:val="00E5290E"/>
    <w:rsid w:val="00E54D44"/>
    <w:rsid w:val="00E729FD"/>
    <w:rsid w:val="00E73125"/>
    <w:rsid w:val="00E74404"/>
    <w:rsid w:val="00E83A0E"/>
    <w:rsid w:val="00E95339"/>
    <w:rsid w:val="00EA55B9"/>
    <w:rsid w:val="00EA72BF"/>
    <w:rsid w:val="00EA774F"/>
    <w:rsid w:val="00EB571D"/>
    <w:rsid w:val="00EC06EB"/>
    <w:rsid w:val="00EC1680"/>
    <w:rsid w:val="00EC4DC5"/>
    <w:rsid w:val="00EC77B1"/>
    <w:rsid w:val="00ED3780"/>
    <w:rsid w:val="00EE019D"/>
    <w:rsid w:val="00EE15B9"/>
    <w:rsid w:val="00EF2631"/>
    <w:rsid w:val="00F0305B"/>
    <w:rsid w:val="00F0505C"/>
    <w:rsid w:val="00F15149"/>
    <w:rsid w:val="00F15153"/>
    <w:rsid w:val="00F24B87"/>
    <w:rsid w:val="00F24ECC"/>
    <w:rsid w:val="00F267A7"/>
    <w:rsid w:val="00F4649D"/>
    <w:rsid w:val="00F50109"/>
    <w:rsid w:val="00F530D8"/>
    <w:rsid w:val="00F615F9"/>
    <w:rsid w:val="00F66890"/>
    <w:rsid w:val="00F670AA"/>
    <w:rsid w:val="00F73369"/>
    <w:rsid w:val="00F756F3"/>
    <w:rsid w:val="00F80018"/>
    <w:rsid w:val="00F81280"/>
    <w:rsid w:val="00F82177"/>
    <w:rsid w:val="00F8235A"/>
    <w:rsid w:val="00F87B9A"/>
    <w:rsid w:val="00FA31E0"/>
    <w:rsid w:val="00FA3B5D"/>
    <w:rsid w:val="00FA4F65"/>
    <w:rsid w:val="00FA5C66"/>
    <w:rsid w:val="00FA7E1B"/>
    <w:rsid w:val="00FB235C"/>
    <w:rsid w:val="00FB3F1C"/>
    <w:rsid w:val="00FB6180"/>
    <w:rsid w:val="00FB7DF4"/>
    <w:rsid w:val="00FC1FA2"/>
    <w:rsid w:val="00FC511E"/>
    <w:rsid w:val="00FD02C4"/>
    <w:rsid w:val="00FD1F95"/>
    <w:rsid w:val="00FE3801"/>
    <w:rsid w:val="00FE3DFB"/>
    <w:rsid w:val="00FE6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BD1"/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8C15CC"/>
    <w:pPr>
      <w:keepNext/>
      <w:keepLines/>
      <w:spacing w:before="480" w:after="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C15C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C15CC"/>
    <w:pPr>
      <w:keepNext/>
      <w:keepLines/>
      <w:spacing w:before="200" w:after="0"/>
      <w:outlineLvl w:val="2"/>
    </w:pPr>
    <w:rPr>
      <w:rFonts w:eastAsiaTheme="majorEastAsia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15C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15CC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15C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15CC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15CC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15CC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15CC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C15CC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C15CC"/>
    <w:rPr>
      <w:rFonts w:ascii="Times New Roman" w:eastAsiaTheme="majorEastAsia" w:hAnsi="Times New Roman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15C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15C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15C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15C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15CC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15C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8C15CC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8C15C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C15CC"/>
    <w:rPr>
      <w:rFonts w:ascii="Times New Roman" w:eastAsiaTheme="majorEastAsia" w:hAnsi="Times New Roman" w:cstheme="majorBidi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15CC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C15CC"/>
    <w:rPr>
      <w:rFonts w:ascii="Times New Roman" w:eastAsiaTheme="majorEastAsia" w:hAnsi="Times New Roman" w:cstheme="majorBidi"/>
      <w:i/>
      <w:iCs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8C15CC"/>
    <w:rPr>
      <w:rFonts w:ascii="Times New Roman" w:hAnsi="Times New Roman"/>
      <w:b/>
      <w:bCs/>
    </w:rPr>
  </w:style>
  <w:style w:type="character" w:styleId="Emphasis">
    <w:name w:val="Emphasis"/>
    <w:basedOn w:val="DefaultParagraphFont"/>
    <w:uiPriority w:val="20"/>
    <w:qFormat/>
    <w:rsid w:val="008C15CC"/>
    <w:rPr>
      <w:rFonts w:ascii="Times New Roman" w:hAnsi="Times New Roman"/>
      <w:i/>
      <w:iCs/>
    </w:rPr>
  </w:style>
  <w:style w:type="paragraph" w:styleId="NoSpacing">
    <w:name w:val="No Spacing"/>
    <w:link w:val="NoSpacingChar"/>
    <w:uiPriority w:val="1"/>
    <w:qFormat/>
    <w:rsid w:val="008C15CC"/>
    <w:pPr>
      <w:spacing w:after="0" w:line="240" w:lineRule="auto"/>
    </w:pPr>
    <w:rPr>
      <w:rFonts w:ascii="Times New Roman" w:hAnsi="Times New Roman"/>
    </w:rPr>
  </w:style>
  <w:style w:type="character" w:customStyle="1" w:styleId="NoSpacingChar">
    <w:name w:val="No Spacing Char"/>
    <w:basedOn w:val="DefaultParagraphFont"/>
    <w:link w:val="NoSpacing"/>
    <w:uiPriority w:val="1"/>
    <w:rsid w:val="008C15CC"/>
    <w:rPr>
      <w:rFonts w:ascii="Times New Roman" w:hAnsi="Times New Roman"/>
    </w:rPr>
  </w:style>
  <w:style w:type="paragraph" w:styleId="ListParagraph">
    <w:name w:val="List Paragraph"/>
    <w:basedOn w:val="Normal"/>
    <w:uiPriority w:val="34"/>
    <w:qFormat/>
    <w:rsid w:val="008C15CC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8C15CC"/>
    <w:rPr>
      <w:rFonts w:asciiTheme="minorHAnsi" w:hAnsiTheme="minorHAnsi"/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8C15CC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15CC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hAnsiTheme="minorHAnsi"/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15CC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8C15CC"/>
    <w:rPr>
      <w:rFonts w:ascii="Times New Roman" w:hAnsi="Times New Roman"/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8C15CC"/>
    <w:rPr>
      <w:rFonts w:ascii="Times New Roman" w:hAnsi="Times New Roman"/>
      <w:b/>
      <w:bCs/>
      <w:i/>
      <w:iCs/>
      <w:color w:val="000000" w:themeColor="text1"/>
    </w:rPr>
  </w:style>
  <w:style w:type="character" w:styleId="SubtleReference">
    <w:name w:val="Subtle Reference"/>
    <w:basedOn w:val="DefaultParagraphFont"/>
    <w:uiPriority w:val="31"/>
    <w:qFormat/>
    <w:rsid w:val="008C15CC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8C15CC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8C15CC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C15CC"/>
    <w:pPr>
      <w:outlineLvl w:val="9"/>
    </w:pPr>
  </w:style>
  <w:style w:type="character" w:customStyle="1" w:styleId="apple-style-span">
    <w:name w:val="apple-style-span"/>
    <w:basedOn w:val="DefaultParagraphFont"/>
    <w:rsid w:val="00541BD1"/>
  </w:style>
  <w:style w:type="paragraph" w:styleId="FootnoteText">
    <w:name w:val="footnote text"/>
    <w:basedOn w:val="Normal"/>
    <w:link w:val="FootnoteTextChar"/>
    <w:uiPriority w:val="99"/>
    <w:semiHidden/>
    <w:unhideWhenUsed/>
    <w:rsid w:val="00541BD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41BD1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41BD1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541B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1BD1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541B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1BD1"/>
    <w:rPr>
      <w:rFonts w:ascii="Times New Roman" w:hAnsi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1B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1BD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2C1FD0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C469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469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469BC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469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469BC"/>
    <w:rPr>
      <w:rFonts w:ascii="Times New Roman" w:hAnsi="Times New Roman"/>
      <w:b/>
      <w:bCs/>
      <w:sz w:val="20"/>
      <w:szCs w:val="20"/>
    </w:rPr>
  </w:style>
  <w:style w:type="character" w:customStyle="1" w:styleId="apple-converted-space">
    <w:name w:val="apple-converted-space"/>
    <w:basedOn w:val="DefaultParagraphFont"/>
    <w:rsid w:val="00146209"/>
  </w:style>
  <w:style w:type="character" w:customStyle="1" w:styleId="mw-formatted-date">
    <w:name w:val="mw-formatted-date"/>
    <w:basedOn w:val="DefaultParagraphFont"/>
    <w:rsid w:val="00146209"/>
  </w:style>
  <w:style w:type="paragraph" w:styleId="EndnoteText">
    <w:name w:val="endnote text"/>
    <w:basedOn w:val="Normal"/>
    <w:link w:val="EndnoteTextChar"/>
    <w:uiPriority w:val="99"/>
    <w:semiHidden/>
    <w:unhideWhenUsed/>
    <w:rsid w:val="00FB235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B235C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4404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CF01A9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BD1"/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8C15CC"/>
    <w:pPr>
      <w:keepNext/>
      <w:keepLines/>
      <w:spacing w:before="480" w:after="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C15C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C15CC"/>
    <w:pPr>
      <w:keepNext/>
      <w:keepLines/>
      <w:spacing w:before="200" w:after="0"/>
      <w:outlineLvl w:val="2"/>
    </w:pPr>
    <w:rPr>
      <w:rFonts w:eastAsiaTheme="majorEastAsia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15C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15CC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15C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15CC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15CC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15CC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15CC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C15CC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C15CC"/>
    <w:rPr>
      <w:rFonts w:ascii="Times New Roman" w:eastAsiaTheme="majorEastAsia" w:hAnsi="Times New Roman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15C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15C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15C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15C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15CC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15C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8C15CC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8C15C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C15CC"/>
    <w:rPr>
      <w:rFonts w:ascii="Times New Roman" w:eastAsiaTheme="majorEastAsia" w:hAnsi="Times New Roman" w:cstheme="majorBidi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15CC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C15CC"/>
    <w:rPr>
      <w:rFonts w:ascii="Times New Roman" w:eastAsiaTheme="majorEastAsia" w:hAnsi="Times New Roman" w:cstheme="majorBidi"/>
      <w:i/>
      <w:iCs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8C15CC"/>
    <w:rPr>
      <w:rFonts w:ascii="Times New Roman" w:hAnsi="Times New Roman"/>
      <w:b/>
      <w:bCs/>
    </w:rPr>
  </w:style>
  <w:style w:type="character" w:styleId="Emphasis">
    <w:name w:val="Emphasis"/>
    <w:basedOn w:val="DefaultParagraphFont"/>
    <w:uiPriority w:val="20"/>
    <w:qFormat/>
    <w:rsid w:val="008C15CC"/>
    <w:rPr>
      <w:rFonts w:ascii="Times New Roman" w:hAnsi="Times New Roman"/>
      <w:i/>
      <w:iCs/>
    </w:rPr>
  </w:style>
  <w:style w:type="paragraph" w:styleId="NoSpacing">
    <w:name w:val="No Spacing"/>
    <w:link w:val="NoSpacingChar"/>
    <w:uiPriority w:val="1"/>
    <w:qFormat/>
    <w:rsid w:val="008C15CC"/>
    <w:pPr>
      <w:spacing w:after="0" w:line="240" w:lineRule="auto"/>
    </w:pPr>
    <w:rPr>
      <w:rFonts w:ascii="Times New Roman" w:hAnsi="Times New Roman"/>
    </w:rPr>
  </w:style>
  <w:style w:type="character" w:customStyle="1" w:styleId="NoSpacingChar">
    <w:name w:val="No Spacing Char"/>
    <w:basedOn w:val="DefaultParagraphFont"/>
    <w:link w:val="NoSpacing"/>
    <w:uiPriority w:val="1"/>
    <w:rsid w:val="008C15CC"/>
    <w:rPr>
      <w:rFonts w:ascii="Times New Roman" w:hAnsi="Times New Roman"/>
    </w:rPr>
  </w:style>
  <w:style w:type="paragraph" w:styleId="ListParagraph">
    <w:name w:val="List Paragraph"/>
    <w:basedOn w:val="Normal"/>
    <w:uiPriority w:val="34"/>
    <w:qFormat/>
    <w:rsid w:val="008C15CC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8C15CC"/>
    <w:rPr>
      <w:rFonts w:asciiTheme="minorHAnsi" w:hAnsiTheme="minorHAnsi"/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8C15CC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15CC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hAnsiTheme="minorHAnsi"/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15CC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8C15CC"/>
    <w:rPr>
      <w:rFonts w:ascii="Times New Roman" w:hAnsi="Times New Roman"/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8C15CC"/>
    <w:rPr>
      <w:rFonts w:ascii="Times New Roman" w:hAnsi="Times New Roman"/>
      <w:b/>
      <w:bCs/>
      <w:i/>
      <w:iCs/>
      <w:color w:val="000000" w:themeColor="text1"/>
    </w:rPr>
  </w:style>
  <w:style w:type="character" w:styleId="SubtleReference">
    <w:name w:val="Subtle Reference"/>
    <w:basedOn w:val="DefaultParagraphFont"/>
    <w:uiPriority w:val="31"/>
    <w:qFormat/>
    <w:rsid w:val="008C15CC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8C15CC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8C15CC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C15CC"/>
    <w:pPr>
      <w:outlineLvl w:val="9"/>
    </w:pPr>
  </w:style>
  <w:style w:type="character" w:customStyle="1" w:styleId="apple-style-span">
    <w:name w:val="apple-style-span"/>
    <w:basedOn w:val="DefaultParagraphFont"/>
    <w:rsid w:val="00541BD1"/>
  </w:style>
  <w:style w:type="paragraph" w:styleId="FootnoteText">
    <w:name w:val="footnote text"/>
    <w:basedOn w:val="Normal"/>
    <w:link w:val="FootnoteTextChar"/>
    <w:uiPriority w:val="99"/>
    <w:semiHidden/>
    <w:unhideWhenUsed/>
    <w:rsid w:val="00541BD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41BD1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41BD1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541B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1BD1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541B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1BD1"/>
    <w:rPr>
      <w:rFonts w:ascii="Times New Roman" w:hAnsi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1B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1BD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2C1FD0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C469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469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469BC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469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469BC"/>
    <w:rPr>
      <w:rFonts w:ascii="Times New Roman" w:hAnsi="Times New Roman"/>
      <w:b/>
      <w:bCs/>
      <w:sz w:val="20"/>
      <w:szCs w:val="20"/>
    </w:rPr>
  </w:style>
  <w:style w:type="character" w:customStyle="1" w:styleId="apple-converted-space">
    <w:name w:val="apple-converted-space"/>
    <w:basedOn w:val="DefaultParagraphFont"/>
    <w:rsid w:val="00146209"/>
  </w:style>
  <w:style w:type="character" w:customStyle="1" w:styleId="mw-formatted-date">
    <w:name w:val="mw-formatted-date"/>
    <w:basedOn w:val="DefaultParagraphFont"/>
    <w:rsid w:val="00146209"/>
  </w:style>
  <w:style w:type="paragraph" w:styleId="EndnoteText">
    <w:name w:val="endnote text"/>
    <w:basedOn w:val="Normal"/>
    <w:link w:val="EndnoteTextChar"/>
    <w:uiPriority w:val="99"/>
    <w:semiHidden/>
    <w:unhideWhenUsed/>
    <w:rsid w:val="00FB235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B235C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4404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CF01A9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723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9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40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3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0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contentdm.warwick.ac.uk/cdm4/browse.ph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wissensdrang.com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esar.org.uk/cesar2/conferences/cesar_conference_2006/Murphree_paper06.html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thecaveonline.com/APEH/voltairebiography.html" TargetMode="External"/><Relationship Id="rId10" Type="http://schemas.openxmlformats.org/officeDocument/2006/relationships/hyperlink" Target="http://www.oed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cesar.org.uk/cesar2/home.php" TargetMode="External"/><Relationship Id="rId14" Type="http://schemas.openxmlformats.org/officeDocument/2006/relationships/hyperlink" Target="http://artsites.ucsc.edu/faculty/dudley/visitandines.html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hecaveonline.com/APEH/voltairebiography.html" TargetMode="External"/><Relationship Id="rId2" Type="http://schemas.openxmlformats.org/officeDocument/2006/relationships/hyperlink" Target="http://www.cesar.org.uk/cesar2/conferences/cesar_conference_2006/Murphree_paper06.html" TargetMode="External"/><Relationship Id="rId1" Type="http://schemas.openxmlformats.org/officeDocument/2006/relationships/hyperlink" Target="http://www.oed.com/view/Entr/164973?redirectedFrom=revolutionary&amp;prin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E44A76CB-74BD-4981-B29D-6D735E68F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5765</Words>
  <Characters>32861</Characters>
  <Application>Microsoft Office Word</Application>
  <DocSecurity>0</DocSecurity>
  <Lines>273</Lines>
  <Paragraphs>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Lavinia Bailey</dc:creator>
  <cp:lastModifiedBy>Lavinia Bailey</cp:lastModifiedBy>
  <cp:revision>2</cp:revision>
  <cp:lastPrinted>2011-05-05T17:34:00Z</cp:lastPrinted>
  <dcterms:created xsi:type="dcterms:W3CDTF">2011-05-06T10:47:00Z</dcterms:created>
  <dcterms:modified xsi:type="dcterms:W3CDTF">2011-05-06T10:47:00Z</dcterms:modified>
</cp:coreProperties>
</file>