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79F31" w14:textId="77777777" w:rsidR="00307A1F" w:rsidRDefault="00307A1F" w:rsidP="007A5B13">
      <w:pPr>
        <w:rPr>
          <w:rFonts w:ascii="Times New Roman" w:eastAsia="TimesNewRomanPSMT" w:hAnsi="Times New Roman" w:cs="Times New Roman"/>
          <w:color w:val="5A5858"/>
          <w:kern w:val="0"/>
          <w:sz w:val="24"/>
          <w:szCs w:val="24"/>
        </w:rPr>
      </w:pPr>
    </w:p>
    <w:p w14:paraId="553613B1" w14:textId="77777777" w:rsidR="0010249A" w:rsidRDefault="0010249A" w:rsidP="0010249A">
      <w:pPr>
        <w:shd w:val="clear" w:color="auto" w:fill="FFFFFF"/>
        <w:jc w:val="center"/>
        <w:textAlignment w:val="baseline"/>
        <w:rPr>
          <w:rFonts w:eastAsia="DengXian" w:cstheme="minorHAnsi"/>
          <w:b/>
          <w:bCs/>
          <w:color w:val="201F1E"/>
          <w:sz w:val="32"/>
          <w:szCs w:val="32"/>
          <w:bdr w:val="none" w:sz="0" w:space="0" w:color="auto" w:frame="1"/>
          <w:lang w:eastAsia="en-GB"/>
        </w:rPr>
      </w:pPr>
      <w:r w:rsidRPr="00DC3E88">
        <w:rPr>
          <w:rFonts w:eastAsia="DengXian" w:cstheme="minorHAnsi"/>
          <w:b/>
          <w:bCs/>
          <w:color w:val="201F1E"/>
          <w:sz w:val="32"/>
          <w:szCs w:val="32"/>
          <w:bdr w:val="none" w:sz="0" w:space="0" w:color="auto" w:frame="1"/>
          <w:lang w:eastAsia="en-GB"/>
        </w:rPr>
        <w:t xml:space="preserve">University of Warwick </w:t>
      </w:r>
    </w:p>
    <w:p w14:paraId="169E5587" w14:textId="46B5F1AB" w:rsidR="0010249A" w:rsidRDefault="0010249A" w:rsidP="0010249A">
      <w:pPr>
        <w:shd w:val="clear" w:color="auto" w:fill="FFFFFF"/>
        <w:jc w:val="center"/>
        <w:textAlignment w:val="baseline"/>
        <w:rPr>
          <w:rFonts w:eastAsia="DengXian" w:cstheme="minorHAnsi"/>
          <w:b/>
          <w:bCs/>
          <w:color w:val="201F1E"/>
          <w:sz w:val="32"/>
          <w:szCs w:val="32"/>
          <w:bdr w:val="none" w:sz="0" w:space="0" w:color="auto" w:frame="1"/>
          <w:lang w:eastAsia="en-GB"/>
        </w:rPr>
      </w:pPr>
      <w:r w:rsidRPr="00DC3E88">
        <w:rPr>
          <w:rFonts w:eastAsia="DengXian" w:cstheme="minorHAnsi"/>
          <w:b/>
          <w:bCs/>
          <w:color w:val="201F1E"/>
          <w:sz w:val="32"/>
          <w:szCs w:val="32"/>
          <w:bdr w:val="none" w:sz="0" w:space="0" w:color="auto" w:frame="1"/>
          <w:lang w:eastAsia="en-GB"/>
        </w:rPr>
        <w:t>Translation and Transcultural Studies Research Seminars</w:t>
      </w:r>
    </w:p>
    <w:p w14:paraId="4D051592" w14:textId="77777777" w:rsidR="003D1873" w:rsidRPr="00EA75D2" w:rsidRDefault="003D1873" w:rsidP="003D1873">
      <w:pPr>
        <w:shd w:val="clear" w:color="auto" w:fill="FFFFFF"/>
        <w:jc w:val="center"/>
        <w:textAlignment w:val="baseline"/>
        <w:rPr>
          <w:rFonts w:eastAsia="DengXian" w:cstheme="minorHAnsi"/>
          <w:b/>
          <w:bCs/>
          <w:color w:val="201F1E"/>
          <w:sz w:val="32"/>
          <w:szCs w:val="32"/>
          <w:bdr w:val="none" w:sz="0" w:space="0" w:color="auto" w:frame="1"/>
          <w:lang w:eastAsia="en-GB"/>
        </w:rPr>
      </w:pPr>
    </w:p>
    <w:p w14:paraId="5343E8EB" w14:textId="77777777" w:rsidR="0010249A" w:rsidRDefault="0010249A" w:rsidP="0010249A">
      <w:pPr>
        <w:shd w:val="clear" w:color="auto" w:fill="FFFFFF"/>
        <w:jc w:val="center"/>
        <w:textAlignment w:val="baseline"/>
        <w:rPr>
          <w:rFonts w:eastAsia="DengXian" w:cstheme="minorHAnsi"/>
          <w:b/>
          <w:bCs/>
          <w:color w:val="201F1E"/>
          <w:sz w:val="24"/>
          <w:szCs w:val="24"/>
          <w:bdr w:val="none" w:sz="0" w:space="0" w:color="auto" w:frame="1"/>
          <w:lang w:eastAsia="en-GB"/>
        </w:rPr>
      </w:pPr>
    </w:p>
    <w:p w14:paraId="7C25E7AF" w14:textId="0EEE28E3" w:rsidR="0010249A" w:rsidRDefault="00EA75D2" w:rsidP="00421FA9">
      <w:pPr>
        <w:shd w:val="clear" w:color="auto" w:fill="FFFFFF"/>
        <w:jc w:val="center"/>
        <w:textAlignment w:val="baseline"/>
        <w:rPr>
          <w:rFonts w:eastAsia="DengXian" w:cstheme="minorHAnsi"/>
          <w:bCs/>
          <w:i/>
          <w:color w:val="201F1E"/>
          <w:sz w:val="24"/>
          <w:szCs w:val="24"/>
          <w:bdr w:val="none" w:sz="0" w:space="0" w:color="auto" w:frame="1"/>
          <w:lang w:eastAsia="en-GB"/>
        </w:rPr>
      </w:pPr>
      <w:r>
        <w:rPr>
          <w:rFonts w:eastAsia="DengXian" w:cstheme="minorHAnsi"/>
          <w:bCs/>
          <w:i/>
          <w:color w:val="201F1E"/>
          <w:sz w:val="24"/>
          <w:szCs w:val="24"/>
          <w:bdr w:val="none" w:sz="0" w:space="0" w:color="auto" w:frame="1"/>
          <w:lang w:eastAsia="en-GB"/>
        </w:rPr>
        <w:t>Thursday 22</w:t>
      </w:r>
      <w:r w:rsidRPr="00EA75D2">
        <w:rPr>
          <w:rFonts w:eastAsia="DengXian" w:cstheme="minorHAnsi"/>
          <w:bCs/>
          <w:i/>
          <w:color w:val="201F1E"/>
          <w:sz w:val="24"/>
          <w:szCs w:val="24"/>
          <w:bdr w:val="none" w:sz="0" w:space="0" w:color="auto" w:frame="1"/>
          <w:vertAlign w:val="superscript"/>
          <w:lang w:eastAsia="en-GB"/>
        </w:rPr>
        <w:t>nd</w:t>
      </w:r>
      <w:r>
        <w:rPr>
          <w:rFonts w:eastAsia="DengXian" w:cstheme="minorHAnsi"/>
          <w:bCs/>
          <w:i/>
          <w:color w:val="201F1E"/>
          <w:sz w:val="24"/>
          <w:szCs w:val="24"/>
          <w:bdr w:val="none" w:sz="0" w:space="0" w:color="auto" w:frame="1"/>
          <w:lang w:eastAsia="en-GB"/>
        </w:rPr>
        <w:t xml:space="preserve"> </w:t>
      </w:r>
      <w:proofErr w:type="gramStart"/>
      <w:r>
        <w:rPr>
          <w:rFonts w:eastAsia="DengXian" w:cstheme="minorHAnsi"/>
          <w:bCs/>
          <w:i/>
          <w:color w:val="201F1E"/>
          <w:sz w:val="24"/>
          <w:szCs w:val="24"/>
          <w:bdr w:val="none" w:sz="0" w:space="0" w:color="auto" w:frame="1"/>
          <w:lang w:eastAsia="en-GB"/>
        </w:rPr>
        <w:t>June,</w:t>
      </w:r>
      <w:proofErr w:type="gramEnd"/>
      <w:r>
        <w:rPr>
          <w:rFonts w:eastAsia="DengXian" w:cstheme="minorHAnsi"/>
          <w:bCs/>
          <w:i/>
          <w:color w:val="201F1E"/>
          <w:sz w:val="24"/>
          <w:szCs w:val="24"/>
          <w:bdr w:val="none" w:sz="0" w:space="0" w:color="auto" w:frame="1"/>
          <w:lang w:eastAsia="en-GB"/>
        </w:rPr>
        <w:t xml:space="preserve"> 2023</w:t>
      </w:r>
      <w:r w:rsidR="0010249A" w:rsidRPr="00DC3E88">
        <w:rPr>
          <w:rFonts w:eastAsia="DengXian" w:cstheme="minorHAnsi"/>
          <w:bCs/>
          <w:i/>
          <w:color w:val="201F1E"/>
          <w:sz w:val="24"/>
          <w:szCs w:val="24"/>
          <w:bdr w:val="none" w:sz="0" w:space="0" w:color="auto" w:frame="1"/>
          <w:lang w:eastAsia="en-GB"/>
        </w:rPr>
        <w:t xml:space="preserve">, </w:t>
      </w:r>
      <w:r w:rsidR="00864D06">
        <w:rPr>
          <w:rFonts w:eastAsia="DengXian" w:cstheme="minorHAnsi"/>
          <w:bCs/>
          <w:i/>
          <w:color w:val="201F1E"/>
          <w:sz w:val="24"/>
          <w:szCs w:val="24"/>
          <w:bdr w:val="none" w:sz="0" w:space="0" w:color="auto" w:frame="1"/>
          <w:lang w:eastAsia="en-GB"/>
        </w:rPr>
        <w:t>5-6pm</w:t>
      </w:r>
      <w:r w:rsidR="0010249A">
        <w:rPr>
          <w:rFonts w:eastAsia="DengXian" w:cstheme="minorHAnsi"/>
          <w:bCs/>
          <w:i/>
          <w:color w:val="201F1E"/>
          <w:sz w:val="24"/>
          <w:szCs w:val="24"/>
          <w:bdr w:val="none" w:sz="0" w:space="0" w:color="auto" w:frame="1"/>
          <w:lang w:eastAsia="en-GB"/>
        </w:rPr>
        <w:t xml:space="preserve"> (UK time)</w:t>
      </w:r>
    </w:p>
    <w:p w14:paraId="0867BE37" w14:textId="2CE91FBB" w:rsidR="00421FA9" w:rsidRDefault="00421FA9" w:rsidP="00421FA9">
      <w:pPr>
        <w:shd w:val="clear" w:color="auto" w:fill="FFFFFF"/>
        <w:jc w:val="center"/>
        <w:textAlignment w:val="baseline"/>
        <w:rPr>
          <w:rFonts w:eastAsia="DengXian" w:cstheme="minorHAnsi"/>
          <w:bCs/>
          <w:i/>
          <w:color w:val="201F1E"/>
          <w:sz w:val="24"/>
          <w:szCs w:val="24"/>
          <w:bdr w:val="none" w:sz="0" w:space="0" w:color="auto" w:frame="1"/>
          <w:lang w:eastAsia="en-GB"/>
        </w:rPr>
      </w:pPr>
    </w:p>
    <w:p w14:paraId="06730255" w14:textId="77777777" w:rsidR="003D1873" w:rsidRPr="00421FA9" w:rsidRDefault="003D1873" w:rsidP="00421FA9">
      <w:pPr>
        <w:shd w:val="clear" w:color="auto" w:fill="FFFFFF"/>
        <w:jc w:val="center"/>
        <w:textAlignment w:val="baseline"/>
        <w:rPr>
          <w:rFonts w:eastAsia="DengXian" w:cstheme="minorHAnsi"/>
          <w:bCs/>
          <w:i/>
          <w:color w:val="201F1E"/>
          <w:sz w:val="24"/>
          <w:szCs w:val="24"/>
          <w:bdr w:val="none" w:sz="0" w:space="0" w:color="auto" w:frame="1"/>
          <w:lang w:eastAsia="en-GB"/>
        </w:rPr>
      </w:pPr>
    </w:p>
    <w:p w14:paraId="11779F32" w14:textId="089B592F" w:rsidR="00745E01" w:rsidRPr="00D5420D" w:rsidRDefault="00D5420D" w:rsidP="00421FA9">
      <w:pPr>
        <w:widowControl/>
        <w:spacing w:after="160" w:line="259" w:lineRule="auto"/>
        <w:jc w:val="center"/>
        <w:rPr>
          <w:rFonts w:ascii="Calibri" w:eastAsiaTheme="minorHAnsi" w:hAnsi="Calibri" w:cs="Calibri"/>
          <w:b/>
          <w:bCs/>
          <w:color w:val="201F1E"/>
          <w:kern w:val="0"/>
          <w:sz w:val="32"/>
          <w:szCs w:val="32"/>
          <w:shd w:val="clear" w:color="auto" w:fill="FFFFFF"/>
          <w:lang w:val="en-GB" w:eastAsia="en-US"/>
        </w:rPr>
      </w:pPr>
      <w:r w:rsidRPr="00D5420D">
        <w:rPr>
          <w:rFonts w:ascii="Calibri" w:eastAsiaTheme="minorHAnsi" w:hAnsi="Calibri" w:cs="Calibri"/>
          <w:b/>
          <w:bCs/>
          <w:color w:val="201F1E"/>
          <w:kern w:val="0"/>
          <w:sz w:val="32"/>
          <w:szCs w:val="32"/>
          <w:shd w:val="clear" w:color="auto" w:fill="FFFFFF"/>
          <w:lang w:val="en-GB" w:eastAsia="en-US"/>
        </w:rPr>
        <w:t>Theory and Methods for an Entangled History of Translation</w:t>
      </w:r>
    </w:p>
    <w:p w14:paraId="3187EDAE" w14:textId="6539D4BB" w:rsidR="003D1873" w:rsidRDefault="00B0321C" w:rsidP="00F5005E">
      <w:pPr>
        <w:widowControl/>
        <w:spacing w:after="160" w:line="259" w:lineRule="auto"/>
        <w:jc w:val="center"/>
        <w:rPr>
          <w:rFonts w:ascii="Segoe UI" w:hAnsi="Segoe UI" w:cs="Segoe UI"/>
          <w:color w:val="000000"/>
          <w:szCs w:val="21"/>
          <w:lang w:val="es-ES"/>
        </w:rPr>
      </w:pPr>
      <w:proofErr w:type="spellStart"/>
      <w:r w:rsidRPr="005D0A66">
        <w:rPr>
          <w:rFonts w:ascii="Segoe UI" w:hAnsi="Segoe UI" w:cs="Segoe UI"/>
          <w:b/>
          <w:bCs/>
          <w:color w:val="000000"/>
          <w:szCs w:val="21"/>
          <w:lang w:val="es-ES"/>
        </w:rPr>
        <w:t>Prof</w:t>
      </w:r>
      <w:proofErr w:type="spellEnd"/>
      <w:r w:rsidRPr="005D0A66">
        <w:rPr>
          <w:rFonts w:ascii="Segoe UI" w:hAnsi="Segoe UI" w:cs="Segoe UI"/>
          <w:b/>
          <w:bCs/>
          <w:color w:val="000000"/>
          <w:szCs w:val="21"/>
          <w:lang w:val="es-ES"/>
        </w:rPr>
        <w:t xml:space="preserve"> </w:t>
      </w:r>
      <w:r w:rsidRPr="005D0A66">
        <w:rPr>
          <w:rFonts w:ascii="Segoe UI" w:hAnsi="Segoe UI" w:cs="Segoe UI"/>
          <w:b/>
          <w:bCs/>
          <w:color w:val="000000"/>
          <w:szCs w:val="21"/>
          <w:lang w:val="es-ES"/>
        </w:rPr>
        <w:t>Diana Roig-Sanz</w:t>
      </w:r>
      <w:r w:rsidR="00305A8A" w:rsidRPr="005D0A66">
        <w:rPr>
          <w:rFonts w:ascii="Segoe UI" w:hAnsi="Segoe UI" w:cs="Segoe UI"/>
          <w:b/>
          <w:bCs/>
          <w:color w:val="000000"/>
          <w:szCs w:val="21"/>
          <w:lang w:val="es-ES"/>
        </w:rPr>
        <w:t> </w:t>
      </w:r>
      <w:r w:rsidR="00305A8A" w:rsidRPr="005D0A66">
        <w:rPr>
          <w:rFonts w:ascii="Segoe UI" w:hAnsi="Segoe UI" w:cs="Segoe UI"/>
          <w:b/>
          <w:bCs/>
          <w:color w:val="000000"/>
          <w:szCs w:val="21"/>
          <w:lang w:val="es-ES"/>
        </w:rPr>
        <w:br/>
      </w:r>
      <w:r w:rsidR="00305A8A" w:rsidRPr="005D0A66">
        <w:rPr>
          <w:rFonts w:ascii="Segoe UI" w:hAnsi="Segoe UI" w:cs="Segoe UI"/>
          <w:color w:val="000000"/>
          <w:szCs w:val="21"/>
          <w:lang w:val="es-ES"/>
        </w:rPr>
        <w:t>(</w:t>
      </w:r>
      <w:proofErr w:type="spellStart"/>
      <w:r w:rsidRPr="005D0A66">
        <w:rPr>
          <w:rFonts w:ascii="Lato" w:hAnsi="Lato"/>
          <w:color w:val="383838"/>
          <w:shd w:val="clear" w:color="auto" w:fill="FFFFFF"/>
          <w:lang w:val="es-ES"/>
        </w:rPr>
        <w:t>Universitat</w:t>
      </w:r>
      <w:proofErr w:type="spellEnd"/>
      <w:r w:rsidRPr="005D0A66">
        <w:rPr>
          <w:rFonts w:ascii="Lato" w:hAnsi="Lato"/>
          <w:color w:val="383838"/>
          <w:shd w:val="clear" w:color="auto" w:fill="FFFFFF"/>
          <w:lang w:val="es-ES"/>
        </w:rPr>
        <w:t xml:space="preserve"> Oberta de Catalunya</w:t>
      </w:r>
      <w:r w:rsidR="00305A8A" w:rsidRPr="005D0A66">
        <w:rPr>
          <w:rFonts w:ascii="Segoe UI" w:hAnsi="Segoe UI" w:cs="Segoe UI"/>
          <w:color w:val="000000"/>
          <w:szCs w:val="21"/>
          <w:lang w:val="es-ES"/>
        </w:rPr>
        <w:t>)</w:t>
      </w:r>
    </w:p>
    <w:p w14:paraId="0F708A2E" w14:textId="77777777" w:rsidR="00F5005E" w:rsidRPr="00F5005E" w:rsidRDefault="00F5005E" w:rsidP="00F5005E">
      <w:pPr>
        <w:widowControl/>
        <w:spacing w:after="160" w:line="259" w:lineRule="auto"/>
        <w:jc w:val="center"/>
        <w:rPr>
          <w:rFonts w:ascii="Segoe UI" w:hAnsi="Segoe UI" w:cs="Segoe UI"/>
          <w:color w:val="000000"/>
          <w:szCs w:val="21"/>
          <w:lang w:val="es-ES"/>
        </w:rPr>
      </w:pPr>
    </w:p>
    <w:p w14:paraId="11779F35" w14:textId="56A3432A" w:rsidR="00745E01" w:rsidRPr="0041167E" w:rsidRDefault="005D0A66" w:rsidP="005D0A66">
      <w:pPr>
        <w:widowControl/>
        <w:spacing w:after="160" w:line="259" w:lineRule="auto"/>
        <w:jc w:val="center"/>
        <w:rPr>
          <w:rFonts w:ascii="Calibri" w:eastAsiaTheme="minorHAnsi" w:hAnsi="Calibri" w:cs="Calibri"/>
          <w:color w:val="201F1E"/>
          <w:kern w:val="0"/>
          <w:sz w:val="22"/>
          <w:shd w:val="clear" w:color="auto" w:fill="FFFFFF"/>
          <w:lang w:val="en-GB" w:eastAsia="en-US"/>
        </w:rPr>
      </w:pPr>
      <w:r w:rsidRPr="005D0A66">
        <w:rPr>
          <w:rFonts w:ascii="Calibri" w:eastAsiaTheme="minorHAnsi" w:hAnsi="Calibri" w:cs="Calibri"/>
          <w:color w:val="201F1E"/>
          <w:kern w:val="0"/>
          <w:sz w:val="22"/>
          <w:shd w:val="clear" w:color="auto" w:fill="FFFFFF"/>
          <w:lang w:val="en-GB" w:eastAsia="en-US"/>
        </w:rPr>
        <w:t xml:space="preserve">This lecture aims at offering some theoretical and methodological insights to examine translation history within an entangled, </w:t>
      </w:r>
      <w:proofErr w:type="gramStart"/>
      <w:r w:rsidRPr="005D0A66">
        <w:rPr>
          <w:rFonts w:ascii="Calibri" w:eastAsiaTheme="minorHAnsi" w:hAnsi="Calibri" w:cs="Calibri"/>
          <w:color w:val="201F1E"/>
          <w:kern w:val="0"/>
          <w:sz w:val="22"/>
          <w:shd w:val="clear" w:color="auto" w:fill="FFFFFF"/>
          <w:lang w:val="en-GB" w:eastAsia="en-US"/>
        </w:rPr>
        <w:t>global</w:t>
      </w:r>
      <w:proofErr w:type="gramEnd"/>
      <w:r w:rsidRPr="005D0A66">
        <w:rPr>
          <w:rFonts w:ascii="Calibri" w:eastAsiaTheme="minorHAnsi" w:hAnsi="Calibri" w:cs="Calibri"/>
          <w:color w:val="201F1E"/>
          <w:kern w:val="0"/>
          <w:sz w:val="22"/>
          <w:shd w:val="clear" w:color="auto" w:fill="FFFFFF"/>
          <w:lang w:val="en-GB" w:eastAsia="en-US"/>
        </w:rPr>
        <w:t xml:space="preserve"> and digital approach. I aim at presenting how we can apply a global, gender and data-driven perspective to </w:t>
      </w:r>
      <w:proofErr w:type="spellStart"/>
      <w:r w:rsidRPr="005D0A66">
        <w:rPr>
          <w:rFonts w:ascii="Calibri" w:eastAsiaTheme="minorHAnsi" w:hAnsi="Calibri" w:cs="Calibri"/>
          <w:color w:val="201F1E"/>
          <w:kern w:val="0"/>
          <w:sz w:val="22"/>
          <w:shd w:val="clear" w:color="auto" w:fill="FFFFFF"/>
          <w:lang w:val="en-GB" w:eastAsia="en-US"/>
        </w:rPr>
        <w:t>analyze</w:t>
      </w:r>
      <w:proofErr w:type="spellEnd"/>
      <w:r w:rsidRPr="005D0A66">
        <w:rPr>
          <w:rFonts w:ascii="Calibri" w:eastAsiaTheme="minorHAnsi" w:hAnsi="Calibri" w:cs="Calibri"/>
          <w:color w:val="201F1E"/>
          <w:kern w:val="0"/>
          <w:sz w:val="22"/>
          <w:shd w:val="clear" w:color="auto" w:fill="FFFFFF"/>
          <w:lang w:val="en-GB" w:eastAsia="en-US"/>
        </w:rPr>
        <w:t xml:space="preserve"> global translation flows with a specific focus on the so-called peripheries and on what I have called global translation zones. To this end, I will combine theoretical discussion with some empirical analysis based on the research I am currently undertaking within my current European project “Social Networks of the Past. Mapping Hispanic and Lusophone Literary Modernity, 1898-1959”. This project contributes to an entangled and decentralized history of translation by seeking to give a voice to marginal and lesser-known actors, whom I understand, with Reine </w:t>
      </w:r>
      <w:proofErr w:type="spellStart"/>
      <w:r w:rsidRPr="005D0A66">
        <w:rPr>
          <w:rFonts w:ascii="Calibri" w:eastAsiaTheme="minorHAnsi" w:hAnsi="Calibri" w:cs="Calibri"/>
          <w:color w:val="201F1E"/>
          <w:kern w:val="0"/>
          <w:sz w:val="22"/>
          <w:shd w:val="clear" w:color="auto" w:fill="FFFFFF"/>
          <w:lang w:val="en-GB" w:eastAsia="en-US"/>
        </w:rPr>
        <w:t>Meylaerts</w:t>
      </w:r>
      <w:proofErr w:type="spellEnd"/>
      <w:r w:rsidRPr="005D0A66">
        <w:rPr>
          <w:rFonts w:ascii="Calibri" w:eastAsiaTheme="minorHAnsi" w:hAnsi="Calibri" w:cs="Calibri"/>
          <w:color w:val="201F1E"/>
          <w:kern w:val="0"/>
          <w:sz w:val="22"/>
          <w:shd w:val="clear" w:color="auto" w:fill="FFFFFF"/>
          <w:lang w:val="en-GB" w:eastAsia="en-US"/>
        </w:rPr>
        <w:t>, as cultural mediators (</w:t>
      </w:r>
      <w:proofErr w:type="spellStart"/>
      <w:r w:rsidRPr="005D0A66">
        <w:rPr>
          <w:rFonts w:ascii="Calibri" w:eastAsiaTheme="minorHAnsi" w:hAnsi="Calibri" w:cs="Calibri"/>
          <w:color w:val="201F1E"/>
          <w:kern w:val="0"/>
          <w:sz w:val="22"/>
          <w:shd w:val="clear" w:color="auto" w:fill="FFFFFF"/>
          <w:lang w:val="en-GB" w:eastAsia="en-US"/>
        </w:rPr>
        <w:t>Roig</w:t>
      </w:r>
      <w:proofErr w:type="spellEnd"/>
      <w:r w:rsidRPr="005D0A66">
        <w:rPr>
          <w:rFonts w:ascii="Calibri" w:eastAsiaTheme="minorHAnsi" w:hAnsi="Calibri" w:cs="Calibri"/>
          <w:color w:val="201F1E"/>
          <w:kern w:val="0"/>
          <w:sz w:val="22"/>
          <w:shd w:val="clear" w:color="auto" w:fill="FFFFFF"/>
          <w:lang w:val="en-GB" w:eastAsia="en-US"/>
        </w:rPr>
        <w:t xml:space="preserve">-Sanz and </w:t>
      </w:r>
      <w:proofErr w:type="spellStart"/>
      <w:r w:rsidRPr="005D0A66">
        <w:rPr>
          <w:rFonts w:ascii="Calibri" w:eastAsiaTheme="minorHAnsi" w:hAnsi="Calibri" w:cs="Calibri"/>
          <w:color w:val="201F1E"/>
          <w:kern w:val="0"/>
          <w:sz w:val="22"/>
          <w:shd w:val="clear" w:color="auto" w:fill="FFFFFF"/>
          <w:lang w:val="en-GB" w:eastAsia="en-US"/>
        </w:rPr>
        <w:t>Meylaerts</w:t>
      </w:r>
      <w:proofErr w:type="spellEnd"/>
      <w:r w:rsidRPr="005D0A66">
        <w:rPr>
          <w:rFonts w:ascii="Calibri" w:eastAsiaTheme="minorHAnsi" w:hAnsi="Calibri" w:cs="Calibri"/>
          <w:color w:val="201F1E"/>
          <w:kern w:val="0"/>
          <w:sz w:val="22"/>
          <w:shd w:val="clear" w:color="auto" w:fill="FFFFFF"/>
          <w:lang w:val="en-GB" w:eastAsia="en-US"/>
        </w:rPr>
        <w:t xml:space="preserve"> 2018). I will also briefly point out to the term Big Translation History (BTH), which I use to describe a translation history that can be </w:t>
      </w:r>
      <w:proofErr w:type="spellStart"/>
      <w:r w:rsidRPr="005D0A66">
        <w:rPr>
          <w:rFonts w:ascii="Calibri" w:eastAsiaTheme="minorHAnsi" w:hAnsi="Calibri" w:cs="Calibri"/>
          <w:color w:val="201F1E"/>
          <w:kern w:val="0"/>
          <w:sz w:val="22"/>
          <w:shd w:val="clear" w:color="auto" w:fill="FFFFFF"/>
          <w:lang w:val="en-GB" w:eastAsia="en-US"/>
        </w:rPr>
        <w:t>analyzed</w:t>
      </w:r>
      <w:proofErr w:type="spellEnd"/>
      <w:r w:rsidRPr="005D0A66">
        <w:rPr>
          <w:rFonts w:ascii="Calibri" w:eastAsiaTheme="minorHAnsi" w:hAnsi="Calibri" w:cs="Calibri"/>
          <w:color w:val="201F1E"/>
          <w:kern w:val="0"/>
          <w:sz w:val="22"/>
          <w:shd w:val="clear" w:color="auto" w:fill="FFFFFF"/>
          <w:lang w:val="en-GB" w:eastAsia="en-US"/>
        </w:rPr>
        <w:t xml:space="preserve"> computationally and may challenge controversial notions such as those of centrality and peripherality.</w:t>
      </w:r>
    </w:p>
    <w:p w14:paraId="11779F39" w14:textId="17D62E59" w:rsidR="004B7A8C" w:rsidRDefault="004B7A8C" w:rsidP="007A5B13">
      <w:pPr>
        <w:rPr>
          <w:rFonts w:cstheme="minorHAnsi"/>
          <w:sz w:val="22"/>
        </w:rPr>
      </w:pPr>
    </w:p>
    <w:p w14:paraId="144F0A70" w14:textId="669C5F9B" w:rsidR="00F5005E" w:rsidRPr="00F5005E" w:rsidRDefault="00F5005E" w:rsidP="007A5B13">
      <w:pPr>
        <w:rPr>
          <w:rFonts w:cstheme="minorHAnsi"/>
          <w:sz w:val="22"/>
          <w:lang w:val="en"/>
        </w:rPr>
      </w:pPr>
      <w:r w:rsidRPr="00F5005E">
        <w:rPr>
          <w:rFonts w:cstheme="minorHAnsi"/>
          <w:b/>
          <w:bCs/>
          <w:sz w:val="22"/>
          <w:lang w:val="en"/>
        </w:rPr>
        <w:t xml:space="preserve">Diana </w:t>
      </w:r>
      <w:proofErr w:type="spellStart"/>
      <w:r w:rsidRPr="00F5005E">
        <w:rPr>
          <w:rFonts w:cstheme="minorHAnsi"/>
          <w:b/>
          <w:bCs/>
          <w:sz w:val="22"/>
          <w:lang w:val="en"/>
        </w:rPr>
        <w:t>Roig</w:t>
      </w:r>
      <w:proofErr w:type="spellEnd"/>
      <w:r w:rsidRPr="00F5005E">
        <w:rPr>
          <w:rFonts w:cstheme="minorHAnsi"/>
          <w:b/>
          <w:bCs/>
          <w:sz w:val="22"/>
          <w:lang w:val="en"/>
        </w:rPr>
        <w:t>-Sanz</w:t>
      </w:r>
      <w:r w:rsidRPr="00F5005E">
        <w:rPr>
          <w:rFonts w:cstheme="minorHAnsi"/>
          <w:sz w:val="22"/>
          <w:lang w:val="en"/>
        </w:rPr>
        <w:t xml:space="preserve"> is an ICREA Full Professor and ERC Starting Grant holder at the IN3-UOC, in Barcelona. She is the coordinator of the Global Literary Studies Research Lab (</w:t>
      </w:r>
      <w:proofErr w:type="spellStart"/>
      <w:r w:rsidRPr="00F5005E">
        <w:rPr>
          <w:rFonts w:cstheme="minorHAnsi"/>
          <w:sz w:val="22"/>
          <w:lang w:val="en"/>
        </w:rPr>
        <w:t>GlobaLS</w:t>
      </w:r>
      <w:proofErr w:type="spellEnd"/>
      <w:r w:rsidRPr="00F5005E">
        <w:rPr>
          <w:rFonts w:cstheme="minorHAnsi"/>
          <w:sz w:val="22"/>
          <w:lang w:val="en"/>
        </w:rPr>
        <w:t xml:space="preserve">) and the PI of the European project “Social Networks of the Past. Mapping Hispanic and Lusophone Modernity, 1898–1959.” Her research interests deal with global and cultural approaches applied to literary and translation history within a digital humanities approach. She also works on sociology of translation and minor and less-translated literatures. Her publications include </w:t>
      </w:r>
      <w:r w:rsidRPr="00F5005E">
        <w:rPr>
          <w:rFonts w:cstheme="minorHAnsi"/>
          <w:i/>
          <w:sz w:val="22"/>
          <w:lang w:val="en"/>
        </w:rPr>
        <w:t xml:space="preserve">Bourdieu </w:t>
      </w:r>
      <w:proofErr w:type="spellStart"/>
      <w:r w:rsidRPr="00F5005E">
        <w:rPr>
          <w:rFonts w:cstheme="minorHAnsi"/>
          <w:i/>
          <w:sz w:val="22"/>
          <w:lang w:val="en"/>
        </w:rPr>
        <w:t>después</w:t>
      </w:r>
      <w:proofErr w:type="spellEnd"/>
      <w:r w:rsidRPr="00F5005E">
        <w:rPr>
          <w:rFonts w:cstheme="minorHAnsi"/>
          <w:i/>
          <w:sz w:val="22"/>
          <w:lang w:val="en"/>
        </w:rPr>
        <w:t xml:space="preserve"> de Bourdieu</w:t>
      </w:r>
      <w:r w:rsidRPr="00F5005E">
        <w:rPr>
          <w:rFonts w:cstheme="minorHAnsi"/>
          <w:sz w:val="22"/>
          <w:lang w:val="en"/>
        </w:rPr>
        <w:t xml:space="preserve"> (2014), </w:t>
      </w:r>
      <w:r w:rsidRPr="00F5005E">
        <w:rPr>
          <w:rFonts w:cstheme="minorHAnsi"/>
          <w:i/>
          <w:sz w:val="22"/>
          <w:lang w:val="en"/>
        </w:rPr>
        <w:t>Literary Translation and Cultural Mediators in</w:t>
      </w:r>
      <w:r>
        <w:rPr>
          <w:rFonts w:cstheme="minorHAnsi"/>
          <w:i/>
          <w:sz w:val="22"/>
          <w:lang w:val="en"/>
        </w:rPr>
        <w:t xml:space="preserve"> </w:t>
      </w:r>
      <w:r w:rsidRPr="00F5005E">
        <w:rPr>
          <w:rFonts w:cstheme="minorHAnsi"/>
          <w:i/>
          <w:sz w:val="22"/>
          <w:lang w:val="en"/>
        </w:rPr>
        <w:t>‘Peripheral’ Cultures</w:t>
      </w:r>
      <w:r w:rsidRPr="00F5005E">
        <w:rPr>
          <w:rFonts w:cstheme="minorHAnsi"/>
          <w:sz w:val="22"/>
          <w:lang w:val="en"/>
        </w:rPr>
        <w:t xml:space="preserve"> (2018, with R. </w:t>
      </w:r>
      <w:proofErr w:type="spellStart"/>
      <w:r w:rsidRPr="00F5005E">
        <w:rPr>
          <w:rFonts w:cstheme="minorHAnsi"/>
          <w:sz w:val="22"/>
          <w:lang w:val="en"/>
        </w:rPr>
        <w:t>Meylaerts</w:t>
      </w:r>
      <w:proofErr w:type="spellEnd"/>
      <w:r w:rsidRPr="00F5005E">
        <w:rPr>
          <w:rFonts w:cstheme="minorHAnsi"/>
          <w:sz w:val="22"/>
          <w:lang w:val="en"/>
        </w:rPr>
        <w:t xml:space="preserve">, </w:t>
      </w:r>
      <w:r w:rsidRPr="00F5005E">
        <w:rPr>
          <w:rFonts w:cstheme="minorHAnsi"/>
          <w:i/>
          <w:sz w:val="22"/>
          <w:lang w:val="en"/>
        </w:rPr>
        <w:t xml:space="preserve">Literary Translation in Periodicals (2020, with L. </w:t>
      </w:r>
      <w:proofErr w:type="spellStart"/>
      <w:r w:rsidRPr="00F5005E">
        <w:rPr>
          <w:rFonts w:cstheme="minorHAnsi"/>
          <w:i/>
          <w:sz w:val="22"/>
          <w:lang w:val="en"/>
        </w:rPr>
        <w:t>Fólica</w:t>
      </w:r>
      <w:proofErr w:type="spellEnd"/>
      <w:r w:rsidRPr="00F5005E">
        <w:rPr>
          <w:rFonts w:cstheme="minorHAnsi"/>
          <w:i/>
          <w:sz w:val="22"/>
          <w:lang w:val="en"/>
        </w:rPr>
        <w:t xml:space="preserve"> and S. </w:t>
      </w:r>
      <w:proofErr w:type="spellStart"/>
      <w:r w:rsidRPr="00F5005E">
        <w:rPr>
          <w:rFonts w:cstheme="minorHAnsi"/>
          <w:i/>
          <w:sz w:val="22"/>
          <w:lang w:val="en"/>
        </w:rPr>
        <w:t>Caristia</w:t>
      </w:r>
      <w:proofErr w:type="spellEnd"/>
      <w:r w:rsidRPr="00F5005E">
        <w:rPr>
          <w:rFonts w:cstheme="minorHAnsi"/>
          <w:i/>
          <w:sz w:val="22"/>
          <w:lang w:val="en"/>
        </w:rPr>
        <w:t>)</w:t>
      </w:r>
      <w:r w:rsidRPr="00F5005E">
        <w:rPr>
          <w:rFonts w:cstheme="minorHAnsi"/>
          <w:sz w:val="22"/>
          <w:lang w:val="en"/>
        </w:rPr>
        <w:t xml:space="preserve">, or </w:t>
      </w:r>
      <w:r w:rsidRPr="00F5005E">
        <w:rPr>
          <w:rFonts w:cstheme="minorHAnsi"/>
          <w:i/>
          <w:sz w:val="22"/>
          <w:lang w:val="en"/>
        </w:rPr>
        <w:t>Global Literary Studies: Key Concepts</w:t>
      </w:r>
      <w:r w:rsidRPr="00F5005E">
        <w:rPr>
          <w:rFonts w:cstheme="minorHAnsi"/>
          <w:sz w:val="22"/>
          <w:lang w:val="en"/>
        </w:rPr>
        <w:t xml:space="preserve"> (2022, with N. </w:t>
      </w:r>
      <w:proofErr w:type="spellStart"/>
      <w:r w:rsidRPr="00F5005E">
        <w:rPr>
          <w:rFonts w:cstheme="minorHAnsi"/>
          <w:sz w:val="22"/>
          <w:lang w:val="en"/>
        </w:rPr>
        <w:t>Rotger</w:t>
      </w:r>
      <w:proofErr w:type="spellEnd"/>
      <w:r w:rsidRPr="00F5005E">
        <w:rPr>
          <w:rFonts w:cstheme="minorHAnsi"/>
          <w:sz w:val="22"/>
          <w:lang w:val="en"/>
        </w:rPr>
        <w:t xml:space="preserve">), as well as articles related to translation, global and digital approaches in </w:t>
      </w:r>
      <w:r w:rsidRPr="00F5005E">
        <w:rPr>
          <w:rFonts w:cstheme="minorHAnsi"/>
          <w:i/>
          <w:sz w:val="22"/>
          <w:lang w:val="en"/>
        </w:rPr>
        <w:t>Translation Spaces</w:t>
      </w:r>
      <w:r w:rsidRPr="00F5005E">
        <w:rPr>
          <w:rFonts w:cstheme="minorHAnsi"/>
          <w:sz w:val="22"/>
          <w:lang w:val="en"/>
        </w:rPr>
        <w:t xml:space="preserve">, </w:t>
      </w:r>
      <w:r w:rsidRPr="00F5005E">
        <w:rPr>
          <w:rFonts w:cstheme="minorHAnsi"/>
          <w:i/>
          <w:sz w:val="22"/>
          <w:lang w:val="en"/>
        </w:rPr>
        <w:t xml:space="preserve">Translation in Society </w:t>
      </w:r>
      <w:r w:rsidRPr="00F5005E">
        <w:rPr>
          <w:rFonts w:cstheme="minorHAnsi"/>
          <w:sz w:val="22"/>
          <w:lang w:val="en"/>
        </w:rPr>
        <w:t xml:space="preserve">or </w:t>
      </w:r>
      <w:r w:rsidRPr="00F5005E">
        <w:rPr>
          <w:rFonts w:cstheme="minorHAnsi"/>
          <w:i/>
          <w:sz w:val="22"/>
          <w:lang w:val="en"/>
        </w:rPr>
        <w:t>Comparative Literature Studies</w:t>
      </w:r>
      <w:r w:rsidRPr="00F5005E">
        <w:rPr>
          <w:rFonts w:cstheme="minorHAnsi"/>
          <w:sz w:val="22"/>
          <w:lang w:val="en"/>
        </w:rPr>
        <w:t xml:space="preserve">. She has conducted research residencies at the Oxford Internet Institute, KU Leuven, the École </w:t>
      </w:r>
      <w:proofErr w:type="spellStart"/>
      <w:r w:rsidRPr="00F5005E">
        <w:rPr>
          <w:rFonts w:cstheme="minorHAnsi"/>
          <w:sz w:val="22"/>
          <w:lang w:val="en"/>
        </w:rPr>
        <w:t>Normale</w:t>
      </w:r>
      <w:proofErr w:type="spellEnd"/>
      <w:r w:rsidRPr="00F5005E">
        <w:rPr>
          <w:rFonts w:cstheme="minorHAnsi"/>
          <w:sz w:val="22"/>
          <w:lang w:val="en"/>
        </w:rPr>
        <w:t xml:space="preserve"> Supérieure, or the Amsterdam School for Cultural Analysis</w:t>
      </w:r>
    </w:p>
    <w:sectPr w:rsidR="00F5005E" w:rsidRPr="00F5005E" w:rsidSect="00F5005E">
      <w:pgSz w:w="11906" w:h="16838"/>
      <w:pgMar w:top="1440" w:right="1800" w:bottom="849"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DD971" w14:textId="77777777" w:rsidR="00F20CF0" w:rsidRDefault="00F20CF0" w:rsidP="00144144">
      <w:r>
        <w:separator/>
      </w:r>
    </w:p>
  </w:endnote>
  <w:endnote w:type="continuationSeparator" w:id="0">
    <w:p w14:paraId="26A5D8E7" w14:textId="77777777" w:rsidR="00F20CF0" w:rsidRDefault="00F20CF0" w:rsidP="00144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Arial Unicode MS"/>
    <w:panose1 w:val="020B0604020202020204"/>
    <w:charset w:val="00"/>
    <w:family w:val="roman"/>
    <w:notTrueType/>
    <w:pitch w:val="default"/>
    <w:sig w:usb0="00000000" w:usb1="080E0000" w:usb2="00000010"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Lato">
    <w:panose1 w:val="020F0502020204030203"/>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5666B" w14:textId="77777777" w:rsidR="00F20CF0" w:rsidRDefault="00F20CF0" w:rsidP="00144144">
      <w:r>
        <w:separator/>
      </w:r>
    </w:p>
  </w:footnote>
  <w:footnote w:type="continuationSeparator" w:id="0">
    <w:p w14:paraId="46E69FD8" w14:textId="77777777" w:rsidR="00F20CF0" w:rsidRDefault="00F20CF0" w:rsidP="001441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F16EAB"/>
    <w:multiLevelType w:val="hybridMultilevel"/>
    <w:tmpl w:val="ACF25118"/>
    <w:lvl w:ilvl="0" w:tplc="780A8F4E">
      <w:start w:val="1"/>
      <w:numFmt w:val="bullet"/>
      <w:lvlText w:val="•"/>
      <w:lvlJc w:val="left"/>
      <w:pPr>
        <w:tabs>
          <w:tab w:val="num" w:pos="720"/>
        </w:tabs>
        <w:ind w:left="720" w:hanging="360"/>
      </w:pPr>
      <w:rPr>
        <w:rFonts w:ascii="SimSun" w:hAnsi="SimSun" w:hint="default"/>
      </w:rPr>
    </w:lvl>
    <w:lvl w:ilvl="1" w:tplc="294A5B3E" w:tentative="1">
      <w:start w:val="1"/>
      <w:numFmt w:val="bullet"/>
      <w:lvlText w:val="•"/>
      <w:lvlJc w:val="left"/>
      <w:pPr>
        <w:tabs>
          <w:tab w:val="num" w:pos="1440"/>
        </w:tabs>
        <w:ind w:left="1440" w:hanging="360"/>
      </w:pPr>
      <w:rPr>
        <w:rFonts w:ascii="SimSun" w:hAnsi="SimSun" w:hint="default"/>
      </w:rPr>
    </w:lvl>
    <w:lvl w:ilvl="2" w:tplc="D58C1CB6" w:tentative="1">
      <w:start w:val="1"/>
      <w:numFmt w:val="bullet"/>
      <w:lvlText w:val="•"/>
      <w:lvlJc w:val="left"/>
      <w:pPr>
        <w:tabs>
          <w:tab w:val="num" w:pos="2160"/>
        </w:tabs>
        <w:ind w:left="2160" w:hanging="360"/>
      </w:pPr>
      <w:rPr>
        <w:rFonts w:ascii="SimSun" w:hAnsi="SimSun" w:hint="default"/>
      </w:rPr>
    </w:lvl>
    <w:lvl w:ilvl="3" w:tplc="B836784E" w:tentative="1">
      <w:start w:val="1"/>
      <w:numFmt w:val="bullet"/>
      <w:lvlText w:val="•"/>
      <w:lvlJc w:val="left"/>
      <w:pPr>
        <w:tabs>
          <w:tab w:val="num" w:pos="2880"/>
        </w:tabs>
        <w:ind w:left="2880" w:hanging="360"/>
      </w:pPr>
      <w:rPr>
        <w:rFonts w:ascii="SimSun" w:hAnsi="SimSun" w:hint="default"/>
      </w:rPr>
    </w:lvl>
    <w:lvl w:ilvl="4" w:tplc="AFBA25EA" w:tentative="1">
      <w:start w:val="1"/>
      <w:numFmt w:val="bullet"/>
      <w:lvlText w:val="•"/>
      <w:lvlJc w:val="left"/>
      <w:pPr>
        <w:tabs>
          <w:tab w:val="num" w:pos="3600"/>
        </w:tabs>
        <w:ind w:left="3600" w:hanging="360"/>
      </w:pPr>
      <w:rPr>
        <w:rFonts w:ascii="SimSun" w:hAnsi="SimSun" w:hint="default"/>
      </w:rPr>
    </w:lvl>
    <w:lvl w:ilvl="5" w:tplc="CA98B6DA" w:tentative="1">
      <w:start w:val="1"/>
      <w:numFmt w:val="bullet"/>
      <w:lvlText w:val="•"/>
      <w:lvlJc w:val="left"/>
      <w:pPr>
        <w:tabs>
          <w:tab w:val="num" w:pos="4320"/>
        </w:tabs>
        <w:ind w:left="4320" w:hanging="360"/>
      </w:pPr>
      <w:rPr>
        <w:rFonts w:ascii="SimSun" w:hAnsi="SimSun" w:hint="default"/>
      </w:rPr>
    </w:lvl>
    <w:lvl w:ilvl="6" w:tplc="6DACF1E4" w:tentative="1">
      <w:start w:val="1"/>
      <w:numFmt w:val="bullet"/>
      <w:lvlText w:val="•"/>
      <w:lvlJc w:val="left"/>
      <w:pPr>
        <w:tabs>
          <w:tab w:val="num" w:pos="5040"/>
        </w:tabs>
        <w:ind w:left="5040" w:hanging="360"/>
      </w:pPr>
      <w:rPr>
        <w:rFonts w:ascii="SimSun" w:hAnsi="SimSun" w:hint="default"/>
      </w:rPr>
    </w:lvl>
    <w:lvl w:ilvl="7" w:tplc="81921CF2" w:tentative="1">
      <w:start w:val="1"/>
      <w:numFmt w:val="bullet"/>
      <w:lvlText w:val="•"/>
      <w:lvlJc w:val="left"/>
      <w:pPr>
        <w:tabs>
          <w:tab w:val="num" w:pos="5760"/>
        </w:tabs>
        <w:ind w:left="5760" w:hanging="360"/>
      </w:pPr>
      <w:rPr>
        <w:rFonts w:ascii="SimSun" w:hAnsi="SimSun" w:hint="default"/>
      </w:rPr>
    </w:lvl>
    <w:lvl w:ilvl="8" w:tplc="E61ECCE0" w:tentative="1">
      <w:start w:val="1"/>
      <w:numFmt w:val="bullet"/>
      <w:lvlText w:val="•"/>
      <w:lvlJc w:val="left"/>
      <w:pPr>
        <w:tabs>
          <w:tab w:val="num" w:pos="6480"/>
        </w:tabs>
        <w:ind w:left="6480" w:hanging="360"/>
      </w:pPr>
      <w:rPr>
        <w:rFonts w:ascii="SimSun" w:hAnsi="SimSun" w:hint="default"/>
      </w:rPr>
    </w:lvl>
  </w:abstractNum>
  <w:abstractNum w:abstractNumId="1" w15:restartNumberingAfterBreak="0">
    <w:nsid w:val="6CB77408"/>
    <w:multiLevelType w:val="hybridMultilevel"/>
    <w:tmpl w:val="2A6CB640"/>
    <w:lvl w:ilvl="0" w:tplc="4518397E">
      <w:start w:val="1"/>
      <w:numFmt w:val="bullet"/>
      <w:lvlText w:val="•"/>
      <w:lvlJc w:val="left"/>
      <w:pPr>
        <w:tabs>
          <w:tab w:val="num" w:pos="720"/>
        </w:tabs>
        <w:ind w:left="720" w:hanging="360"/>
      </w:pPr>
      <w:rPr>
        <w:rFonts w:ascii="SimSun" w:hAnsi="SimSun" w:hint="default"/>
      </w:rPr>
    </w:lvl>
    <w:lvl w:ilvl="1" w:tplc="29E2364A" w:tentative="1">
      <w:start w:val="1"/>
      <w:numFmt w:val="bullet"/>
      <w:lvlText w:val="•"/>
      <w:lvlJc w:val="left"/>
      <w:pPr>
        <w:tabs>
          <w:tab w:val="num" w:pos="1440"/>
        </w:tabs>
        <w:ind w:left="1440" w:hanging="360"/>
      </w:pPr>
      <w:rPr>
        <w:rFonts w:ascii="SimSun" w:hAnsi="SimSun" w:hint="default"/>
      </w:rPr>
    </w:lvl>
    <w:lvl w:ilvl="2" w:tplc="42647FFC" w:tentative="1">
      <w:start w:val="1"/>
      <w:numFmt w:val="bullet"/>
      <w:lvlText w:val="•"/>
      <w:lvlJc w:val="left"/>
      <w:pPr>
        <w:tabs>
          <w:tab w:val="num" w:pos="2160"/>
        </w:tabs>
        <w:ind w:left="2160" w:hanging="360"/>
      </w:pPr>
      <w:rPr>
        <w:rFonts w:ascii="SimSun" w:hAnsi="SimSun" w:hint="default"/>
      </w:rPr>
    </w:lvl>
    <w:lvl w:ilvl="3" w:tplc="636CBC4A" w:tentative="1">
      <w:start w:val="1"/>
      <w:numFmt w:val="bullet"/>
      <w:lvlText w:val="•"/>
      <w:lvlJc w:val="left"/>
      <w:pPr>
        <w:tabs>
          <w:tab w:val="num" w:pos="2880"/>
        </w:tabs>
        <w:ind w:left="2880" w:hanging="360"/>
      </w:pPr>
      <w:rPr>
        <w:rFonts w:ascii="SimSun" w:hAnsi="SimSun" w:hint="default"/>
      </w:rPr>
    </w:lvl>
    <w:lvl w:ilvl="4" w:tplc="E89676FE" w:tentative="1">
      <w:start w:val="1"/>
      <w:numFmt w:val="bullet"/>
      <w:lvlText w:val="•"/>
      <w:lvlJc w:val="left"/>
      <w:pPr>
        <w:tabs>
          <w:tab w:val="num" w:pos="3600"/>
        </w:tabs>
        <w:ind w:left="3600" w:hanging="360"/>
      </w:pPr>
      <w:rPr>
        <w:rFonts w:ascii="SimSun" w:hAnsi="SimSun" w:hint="default"/>
      </w:rPr>
    </w:lvl>
    <w:lvl w:ilvl="5" w:tplc="5C3CD7C4" w:tentative="1">
      <w:start w:val="1"/>
      <w:numFmt w:val="bullet"/>
      <w:lvlText w:val="•"/>
      <w:lvlJc w:val="left"/>
      <w:pPr>
        <w:tabs>
          <w:tab w:val="num" w:pos="4320"/>
        </w:tabs>
        <w:ind w:left="4320" w:hanging="360"/>
      </w:pPr>
      <w:rPr>
        <w:rFonts w:ascii="SimSun" w:hAnsi="SimSun" w:hint="default"/>
      </w:rPr>
    </w:lvl>
    <w:lvl w:ilvl="6" w:tplc="0F6605CE" w:tentative="1">
      <w:start w:val="1"/>
      <w:numFmt w:val="bullet"/>
      <w:lvlText w:val="•"/>
      <w:lvlJc w:val="left"/>
      <w:pPr>
        <w:tabs>
          <w:tab w:val="num" w:pos="5040"/>
        </w:tabs>
        <w:ind w:left="5040" w:hanging="360"/>
      </w:pPr>
      <w:rPr>
        <w:rFonts w:ascii="SimSun" w:hAnsi="SimSun" w:hint="default"/>
      </w:rPr>
    </w:lvl>
    <w:lvl w:ilvl="7" w:tplc="279E223A" w:tentative="1">
      <w:start w:val="1"/>
      <w:numFmt w:val="bullet"/>
      <w:lvlText w:val="•"/>
      <w:lvlJc w:val="left"/>
      <w:pPr>
        <w:tabs>
          <w:tab w:val="num" w:pos="5760"/>
        </w:tabs>
        <w:ind w:left="5760" w:hanging="360"/>
      </w:pPr>
      <w:rPr>
        <w:rFonts w:ascii="SimSun" w:hAnsi="SimSun" w:hint="default"/>
      </w:rPr>
    </w:lvl>
    <w:lvl w:ilvl="8" w:tplc="5C22F0C4" w:tentative="1">
      <w:start w:val="1"/>
      <w:numFmt w:val="bullet"/>
      <w:lvlText w:val="•"/>
      <w:lvlJc w:val="left"/>
      <w:pPr>
        <w:tabs>
          <w:tab w:val="num" w:pos="6480"/>
        </w:tabs>
        <w:ind w:left="6480" w:hanging="360"/>
      </w:pPr>
      <w:rPr>
        <w:rFonts w:ascii="SimSun" w:hAnsi="SimSun" w:hint="default"/>
      </w:rPr>
    </w:lvl>
  </w:abstractNum>
  <w:num w:numId="1" w16cid:durableId="1746996087">
    <w:abstractNumId w:val="0"/>
  </w:num>
  <w:num w:numId="2" w16cid:durableId="4055407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A1F"/>
    <w:rsid w:val="000B655C"/>
    <w:rsid w:val="0010249A"/>
    <w:rsid w:val="00144144"/>
    <w:rsid w:val="00252CCE"/>
    <w:rsid w:val="002D476F"/>
    <w:rsid w:val="00305A8A"/>
    <w:rsid w:val="00307A1F"/>
    <w:rsid w:val="003D1873"/>
    <w:rsid w:val="0041167E"/>
    <w:rsid w:val="00421FA9"/>
    <w:rsid w:val="004B7A8C"/>
    <w:rsid w:val="004D0A7A"/>
    <w:rsid w:val="005B665F"/>
    <w:rsid w:val="005C0A54"/>
    <w:rsid w:val="005D0A66"/>
    <w:rsid w:val="00647CAF"/>
    <w:rsid w:val="006D4E9E"/>
    <w:rsid w:val="006F1FB4"/>
    <w:rsid w:val="00745E01"/>
    <w:rsid w:val="007A5B13"/>
    <w:rsid w:val="007F3F6F"/>
    <w:rsid w:val="00814BAB"/>
    <w:rsid w:val="00864D06"/>
    <w:rsid w:val="009E55FB"/>
    <w:rsid w:val="00A227AB"/>
    <w:rsid w:val="00AC587A"/>
    <w:rsid w:val="00B0321C"/>
    <w:rsid w:val="00B46498"/>
    <w:rsid w:val="00B977BA"/>
    <w:rsid w:val="00CA4596"/>
    <w:rsid w:val="00D34E2F"/>
    <w:rsid w:val="00D4627E"/>
    <w:rsid w:val="00D5420D"/>
    <w:rsid w:val="00DF0F8A"/>
    <w:rsid w:val="00EA75D2"/>
    <w:rsid w:val="00F20CF0"/>
    <w:rsid w:val="00F33A5B"/>
    <w:rsid w:val="00F4099D"/>
    <w:rsid w:val="00F5005E"/>
    <w:rsid w:val="00F7491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779F31"/>
  <w15:docId w15:val="{561142D9-92F6-F24A-A813-863618819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A54"/>
    <w:pPr>
      <w:widowControl w:val="0"/>
      <w:jc w:val="both"/>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414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144144"/>
    <w:rPr>
      <w:sz w:val="18"/>
      <w:szCs w:val="18"/>
    </w:rPr>
  </w:style>
  <w:style w:type="paragraph" w:styleId="Footer">
    <w:name w:val="footer"/>
    <w:basedOn w:val="Normal"/>
    <w:link w:val="FooterChar"/>
    <w:uiPriority w:val="99"/>
    <w:unhideWhenUsed/>
    <w:rsid w:val="0014414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144144"/>
    <w:rPr>
      <w:sz w:val="18"/>
      <w:szCs w:val="18"/>
    </w:rPr>
  </w:style>
  <w:style w:type="paragraph" w:styleId="ListParagraph">
    <w:name w:val="List Paragraph"/>
    <w:basedOn w:val="Normal"/>
    <w:uiPriority w:val="34"/>
    <w:qFormat/>
    <w:rsid w:val="00144144"/>
    <w:pPr>
      <w:widowControl/>
      <w:ind w:firstLineChars="200" w:firstLine="420"/>
      <w:jc w:val="left"/>
    </w:pPr>
    <w:rPr>
      <w:rFonts w:ascii="SimSun" w:eastAsia="SimSun" w:hAnsi="SimSun" w:cs="SimSun"/>
      <w:kern w:val="0"/>
      <w:sz w:val="24"/>
      <w:szCs w:val="24"/>
    </w:rPr>
  </w:style>
  <w:style w:type="paragraph" w:styleId="NormalWeb">
    <w:name w:val="Normal (Web)"/>
    <w:basedOn w:val="Normal"/>
    <w:semiHidden/>
    <w:unhideWhenUsed/>
    <w:rsid w:val="00745E01"/>
    <w:pPr>
      <w:widowControl/>
      <w:spacing w:before="100" w:beforeAutospacing="1" w:after="100" w:afterAutospacing="1"/>
      <w:jc w:val="left"/>
    </w:pPr>
    <w:rPr>
      <w:rFonts w:ascii="Times New Roman" w:eastAsia="SimSun" w:hAnsi="Times New Roman" w:cs="Times New Roman"/>
      <w:kern w:val="0"/>
      <w:sz w:val="24"/>
      <w:szCs w:val="24"/>
    </w:rPr>
  </w:style>
  <w:style w:type="paragraph" w:styleId="FootnoteText">
    <w:name w:val="footnote text"/>
    <w:basedOn w:val="Normal"/>
    <w:link w:val="FootnoteTextChar"/>
    <w:semiHidden/>
    <w:unhideWhenUsed/>
    <w:rsid w:val="00745E01"/>
    <w:pPr>
      <w:snapToGrid w:val="0"/>
      <w:jc w:val="left"/>
    </w:pPr>
    <w:rPr>
      <w:rFonts w:ascii="Times New Roman" w:eastAsia="SimSun" w:hAnsi="Times New Roman" w:cs="Times New Roman"/>
      <w:sz w:val="18"/>
      <w:szCs w:val="18"/>
    </w:rPr>
  </w:style>
  <w:style w:type="character" w:customStyle="1" w:styleId="FootnoteTextChar">
    <w:name w:val="Footnote Text Char"/>
    <w:basedOn w:val="DefaultParagraphFont"/>
    <w:link w:val="FootnoteText"/>
    <w:semiHidden/>
    <w:rsid w:val="00745E01"/>
    <w:rPr>
      <w:rFonts w:ascii="Times New Roman" w:eastAsia="SimSun" w:hAnsi="Times New Roman" w:cs="Times New Roman"/>
      <w:sz w:val="18"/>
      <w:szCs w:val="18"/>
    </w:rPr>
  </w:style>
  <w:style w:type="character" w:styleId="FootnoteReference">
    <w:name w:val="footnote reference"/>
    <w:basedOn w:val="DefaultParagraphFont"/>
    <w:semiHidden/>
    <w:unhideWhenUsed/>
    <w:rsid w:val="00745E01"/>
    <w:rPr>
      <w:vertAlign w:val="superscript"/>
    </w:rPr>
  </w:style>
  <w:style w:type="paragraph" w:styleId="DocumentMap">
    <w:name w:val="Document Map"/>
    <w:basedOn w:val="Normal"/>
    <w:link w:val="DocumentMapChar"/>
    <w:uiPriority w:val="99"/>
    <w:semiHidden/>
    <w:unhideWhenUsed/>
    <w:rsid w:val="00F33A5B"/>
    <w:rPr>
      <w:rFonts w:ascii="SimSun" w:eastAsia="SimSun"/>
      <w:sz w:val="18"/>
      <w:szCs w:val="18"/>
    </w:rPr>
  </w:style>
  <w:style w:type="character" w:customStyle="1" w:styleId="DocumentMapChar">
    <w:name w:val="Document Map Char"/>
    <w:basedOn w:val="DefaultParagraphFont"/>
    <w:link w:val="DocumentMap"/>
    <w:uiPriority w:val="99"/>
    <w:semiHidden/>
    <w:rsid w:val="00F33A5B"/>
    <w:rPr>
      <w:rFonts w:ascii="SimSun" w:eastAsia="SimSu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85728">
      <w:bodyDiv w:val="1"/>
      <w:marLeft w:val="0"/>
      <w:marRight w:val="0"/>
      <w:marTop w:val="0"/>
      <w:marBottom w:val="0"/>
      <w:divBdr>
        <w:top w:val="none" w:sz="0" w:space="0" w:color="auto"/>
        <w:left w:val="none" w:sz="0" w:space="0" w:color="auto"/>
        <w:bottom w:val="none" w:sz="0" w:space="0" w:color="auto"/>
        <w:right w:val="none" w:sz="0" w:space="0" w:color="auto"/>
      </w:divBdr>
    </w:div>
    <w:div w:id="1442258150">
      <w:bodyDiv w:val="1"/>
      <w:marLeft w:val="0"/>
      <w:marRight w:val="0"/>
      <w:marTop w:val="0"/>
      <w:marBottom w:val="0"/>
      <w:divBdr>
        <w:top w:val="none" w:sz="0" w:space="0" w:color="auto"/>
        <w:left w:val="none" w:sz="0" w:space="0" w:color="auto"/>
        <w:bottom w:val="none" w:sz="0" w:space="0" w:color="auto"/>
        <w:right w:val="none" w:sz="0" w:space="0" w:color="auto"/>
      </w:divBdr>
    </w:div>
    <w:div w:id="1968701620">
      <w:bodyDiv w:val="1"/>
      <w:marLeft w:val="0"/>
      <w:marRight w:val="0"/>
      <w:marTop w:val="0"/>
      <w:marBottom w:val="0"/>
      <w:divBdr>
        <w:top w:val="none" w:sz="0" w:space="0" w:color="auto"/>
        <w:left w:val="none" w:sz="0" w:space="0" w:color="auto"/>
        <w:bottom w:val="none" w:sz="0" w:space="0" w:color="auto"/>
        <w:right w:val="none" w:sz="0" w:space="0" w:color="auto"/>
      </w:divBdr>
      <w:divsChild>
        <w:div w:id="1751654425">
          <w:marLeft w:val="547"/>
          <w:marRight w:val="0"/>
          <w:marTop w:val="163"/>
          <w:marBottom w:val="0"/>
          <w:divBdr>
            <w:top w:val="none" w:sz="0" w:space="0" w:color="auto"/>
            <w:left w:val="none" w:sz="0" w:space="0" w:color="auto"/>
            <w:bottom w:val="none" w:sz="0" w:space="0" w:color="auto"/>
            <w:right w:val="none" w:sz="0" w:space="0" w:color="auto"/>
          </w:divBdr>
        </w:div>
      </w:divsChild>
    </w:div>
    <w:div w:id="2086563212">
      <w:bodyDiv w:val="1"/>
      <w:marLeft w:val="0"/>
      <w:marRight w:val="0"/>
      <w:marTop w:val="0"/>
      <w:marBottom w:val="0"/>
      <w:divBdr>
        <w:top w:val="none" w:sz="0" w:space="0" w:color="auto"/>
        <w:left w:val="none" w:sz="0" w:space="0" w:color="auto"/>
        <w:bottom w:val="none" w:sz="0" w:space="0" w:color="auto"/>
        <w:right w:val="none" w:sz="0" w:space="0" w:color="auto"/>
      </w:divBdr>
      <w:divsChild>
        <w:div w:id="1016349467">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373</Words>
  <Characters>2132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City University of Hong Kong</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wangn</dc:creator>
  <cp:lastModifiedBy>Orrego-Carmona, David</cp:lastModifiedBy>
  <cp:revision>12</cp:revision>
  <dcterms:created xsi:type="dcterms:W3CDTF">2022-10-27T08:33:00Z</dcterms:created>
  <dcterms:modified xsi:type="dcterms:W3CDTF">2023-06-16T17:26:00Z</dcterms:modified>
</cp:coreProperties>
</file>