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779F31" w14:textId="77777777" w:rsidR="00307A1F" w:rsidRDefault="00307A1F" w:rsidP="007A5B13">
      <w:pPr>
        <w:rPr>
          <w:rFonts w:ascii="Times New Roman" w:eastAsia="TimesNewRomanPSMT" w:hAnsi="Times New Roman" w:cs="Times New Roman"/>
          <w:color w:val="5A5858"/>
          <w:kern w:val="0"/>
          <w:sz w:val="24"/>
          <w:szCs w:val="24"/>
        </w:rPr>
      </w:pPr>
    </w:p>
    <w:p w14:paraId="553613B1" w14:textId="77777777" w:rsidR="0010249A" w:rsidRDefault="0010249A" w:rsidP="0010249A">
      <w:pPr>
        <w:shd w:val="clear" w:color="auto" w:fill="FFFFFF"/>
        <w:jc w:val="center"/>
        <w:textAlignment w:val="baseline"/>
        <w:rPr>
          <w:rFonts w:eastAsia="DengXian" w:cstheme="minorHAnsi"/>
          <w:b/>
          <w:bCs/>
          <w:color w:val="201F1E"/>
          <w:sz w:val="32"/>
          <w:szCs w:val="32"/>
          <w:bdr w:val="none" w:sz="0" w:space="0" w:color="auto" w:frame="1"/>
          <w:lang w:eastAsia="en-GB"/>
        </w:rPr>
      </w:pPr>
      <w:r w:rsidRPr="00DC3E88">
        <w:rPr>
          <w:rFonts w:eastAsia="DengXian" w:cstheme="minorHAnsi"/>
          <w:b/>
          <w:bCs/>
          <w:color w:val="201F1E"/>
          <w:sz w:val="32"/>
          <w:szCs w:val="32"/>
          <w:bdr w:val="none" w:sz="0" w:space="0" w:color="auto" w:frame="1"/>
          <w:lang w:eastAsia="en-GB"/>
        </w:rPr>
        <w:t xml:space="preserve">University of Warwick </w:t>
      </w:r>
    </w:p>
    <w:p w14:paraId="169E5587" w14:textId="46B5F1AB" w:rsidR="0010249A" w:rsidRDefault="0010249A" w:rsidP="0010249A">
      <w:pPr>
        <w:shd w:val="clear" w:color="auto" w:fill="FFFFFF"/>
        <w:jc w:val="center"/>
        <w:textAlignment w:val="baseline"/>
        <w:rPr>
          <w:rFonts w:eastAsia="DengXian" w:cstheme="minorHAnsi"/>
          <w:b/>
          <w:bCs/>
          <w:color w:val="201F1E"/>
          <w:sz w:val="32"/>
          <w:szCs w:val="32"/>
          <w:bdr w:val="none" w:sz="0" w:space="0" w:color="auto" w:frame="1"/>
          <w:lang w:eastAsia="en-GB"/>
        </w:rPr>
      </w:pPr>
      <w:r w:rsidRPr="00DC3E88">
        <w:rPr>
          <w:rFonts w:eastAsia="DengXian" w:cstheme="minorHAnsi"/>
          <w:b/>
          <w:bCs/>
          <w:color w:val="201F1E"/>
          <w:sz w:val="32"/>
          <w:szCs w:val="32"/>
          <w:bdr w:val="none" w:sz="0" w:space="0" w:color="auto" w:frame="1"/>
          <w:lang w:eastAsia="en-GB"/>
        </w:rPr>
        <w:t>Translation and Transcultural Studies Research Seminars</w:t>
      </w:r>
    </w:p>
    <w:p w14:paraId="6C3A9066" w14:textId="4508247A" w:rsidR="000B1303" w:rsidRDefault="000B1303" w:rsidP="0010249A">
      <w:pPr>
        <w:shd w:val="clear" w:color="auto" w:fill="FFFFFF"/>
        <w:jc w:val="center"/>
        <w:textAlignment w:val="baseline"/>
        <w:rPr>
          <w:rFonts w:eastAsia="DengXian" w:cstheme="minorHAnsi"/>
          <w:b/>
          <w:bCs/>
          <w:color w:val="201F1E"/>
          <w:sz w:val="32"/>
          <w:szCs w:val="32"/>
          <w:bdr w:val="none" w:sz="0" w:space="0" w:color="auto" w:frame="1"/>
          <w:lang w:eastAsia="en-GB"/>
        </w:rPr>
      </w:pPr>
      <w:r>
        <w:rPr>
          <w:rFonts w:eastAsia="DengXian" w:cstheme="minorHAnsi"/>
          <w:b/>
          <w:bCs/>
          <w:color w:val="201F1E"/>
          <w:sz w:val="32"/>
          <w:szCs w:val="32"/>
          <w:bdr w:val="none" w:sz="0" w:space="0" w:color="auto" w:frame="1"/>
          <w:lang w:eastAsia="en-GB"/>
        </w:rPr>
        <w:t>2023-2024</w:t>
      </w:r>
    </w:p>
    <w:p w14:paraId="4D051592" w14:textId="77777777" w:rsidR="003D1873" w:rsidRPr="00EA75D2" w:rsidRDefault="003D1873" w:rsidP="003D1873">
      <w:pPr>
        <w:shd w:val="clear" w:color="auto" w:fill="FFFFFF"/>
        <w:jc w:val="center"/>
        <w:textAlignment w:val="baseline"/>
        <w:rPr>
          <w:rFonts w:eastAsia="DengXian" w:cstheme="minorHAnsi"/>
          <w:b/>
          <w:bCs/>
          <w:color w:val="201F1E"/>
          <w:sz w:val="32"/>
          <w:szCs w:val="32"/>
          <w:bdr w:val="none" w:sz="0" w:space="0" w:color="auto" w:frame="1"/>
          <w:lang w:eastAsia="en-GB"/>
        </w:rPr>
      </w:pPr>
    </w:p>
    <w:p w14:paraId="5343E8EB" w14:textId="77777777" w:rsidR="0010249A" w:rsidRDefault="0010249A" w:rsidP="0010249A">
      <w:pPr>
        <w:shd w:val="clear" w:color="auto" w:fill="FFFFFF"/>
        <w:jc w:val="center"/>
        <w:textAlignment w:val="baseline"/>
        <w:rPr>
          <w:rFonts w:eastAsia="DengXian" w:cstheme="minorHAnsi"/>
          <w:b/>
          <w:bCs/>
          <w:color w:val="201F1E"/>
          <w:sz w:val="24"/>
          <w:szCs w:val="24"/>
          <w:bdr w:val="none" w:sz="0" w:space="0" w:color="auto" w:frame="1"/>
          <w:lang w:eastAsia="en-GB"/>
        </w:rPr>
      </w:pPr>
    </w:p>
    <w:p w14:paraId="7C25E7AF" w14:textId="73341873" w:rsidR="0010249A" w:rsidRDefault="007C701B" w:rsidP="00421FA9">
      <w:pPr>
        <w:shd w:val="clear" w:color="auto" w:fill="FFFFFF"/>
        <w:jc w:val="center"/>
        <w:textAlignment w:val="baseline"/>
        <w:rPr>
          <w:rFonts w:eastAsia="DengXian" w:cstheme="minorHAnsi"/>
          <w:bCs/>
          <w:i/>
          <w:color w:val="201F1E"/>
          <w:sz w:val="24"/>
          <w:szCs w:val="24"/>
          <w:bdr w:val="none" w:sz="0" w:space="0" w:color="auto" w:frame="1"/>
          <w:lang w:eastAsia="en-GB"/>
        </w:rPr>
      </w:pPr>
      <w:r w:rsidRPr="007C701B">
        <w:rPr>
          <w:rFonts w:eastAsia="DengXian" w:cstheme="minorHAnsi"/>
          <w:bCs/>
          <w:i/>
          <w:color w:val="201F1E"/>
          <w:sz w:val="24"/>
          <w:szCs w:val="24"/>
          <w:bdr w:val="none" w:sz="0" w:space="0" w:color="auto" w:frame="1"/>
          <w:lang w:eastAsia="en-GB"/>
        </w:rPr>
        <w:t>Wednesday 6 December, 3:00-4:00 pm</w:t>
      </w:r>
      <w:r w:rsidRPr="007C701B">
        <w:rPr>
          <w:rFonts w:eastAsia="DengXian" w:cstheme="minorHAnsi"/>
          <w:bCs/>
          <w:i/>
          <w:color w:val="201F1E"/>
          <w:sz w:val="24"/>
          <w:szCs w:val="24"/>
          <w:bdr w:val="none" w:sz="0" w:space="0" w:color="auto" w:frame="1"/>
          <w:lang w:eastAsia="en-GB"/>
        </w:rPr>
        <w:t xml:space="preserve"> </w:t>
      </w:r>
      <w:r w:rsidR="0010249A">
        <w:rPr>
          <w:rFonts w:eastAsia="DengXian" w:cstheme="minorHAnsi"/>
          <w:bCs/>
          <w:i/>
          <w:color w:val="201F1E"/>
          <w:sz w:val="24"/>
          <w:szCs w:val="24"/>
          <w:bdr w:val="none" w:sz="0" w:space="0" w:color="auto" w:frame="1"/>
          <w:lang w:eastAsia="en-GB"/>
        </w:rPr>
        <w:t>(UK time)</w:t>
      </w:r>
    </w:p>
    <w:p w14:paraId="53F4A274" w14:textId="3DD369EB" w:rsidR="007C701B" w:rsidRDefault="007C701B" w:rsidP="00421FA9">
      <w:pPr>
        <w:shd w:val="clear" w:color="auto" w:fill="FFFFFF"/>
        <w:jc w:val="center"/>
        <w:textAlignment w:val="baseline"/>
        <w:rPr>
          <w:rFonts w:eastAsia="DengXian" w:cstheme="minorHAnsi"/>
          <w:bCs/>
          <w:i/>
          <w:color w:val="201F1E"/>
          <w:sz w:val="24"/>
          <w:szCs w:val="24"/>
          <w:bdr w:val="none" w:sz="0" w:space="0" w:color="auto" w:frame="1"/>
          <w:lang w:eastAsia="en-GB"/>
        </w:rPr>
      </w:pPr>
      <w:r>
        <w:rPr>
          <w:rFonts w:eastAsia="DengXian" w:cstheme="minorHAnsi"/>
          <w:bCs/>
          <w:i/>
          <w:color w:val="201F1E"/>
          <w:sz w:val="24"/>
          <w:szCs w:val="24"/>
          <w:bdr w:val="none" w:sz="0" w:space="0" w:color="auto" w:frame="1"/>
          <w:lang w:eastAsia="en-GB"/>
        </w:rPr>
        <w:t>Online</w:t>
      </w:r>
    </w:p>
    <w:p w14:paraId="06730255" w14:textId="77777777" w:rsidR="003D1873" w:rsidRPr="00421FA9" w:rsidRDefault="003D1873" w:rsidP="000B1303">
      <w:pPr>
        <w:shd w:val="clear" w:color="auto" w:fill="FFFFFF"/>
        <w:textAlignment w:val="baseline"/>
        <w:rPr>
          <w:rFonts w:eastAsia="DengXian" w:cstheme="minorHAnsi"/>
          <w:bCs/>
          <w:i/>
          <w:color w:val="201F1E"/>
          <w:sz w:val="24"/>
          <w:szCs w:val="24"/>
          <w:bdr w:val="none" w:sz="0" w:space="0" w:color="auto" w:frame="1"/>
          <w:lang w:eastAsia="en-GB"/>
        </w:rPr>
      </w:pPr>
    </w:p>
    <w:p w14:paraId="11779F32" w14:textId="29C7BC82" w:rsidR="00745E01" w:rsidRPr="00D5420D" w:rsidRDefault="00366CF5" w:rsidP="00421FA9">
      <w:pPr>
        <w:widowControl/>
        <w:spacing w:after="160" w:line="259" w:lineRule="auto"/>
        <w:jc w:val="center"/>
        <w:rPr>
          <w:rFonts w:ascii="Calibri" w:eastAsiaTheme="minorHAnsi" w:hAnsi="Calibri" w:cs="Calibri"/>
          <w:b/>
          <w:bCs/>
          <w:color w:val="201F1E"/>
          <w:kern w:val="0"/>
          <w:sz w:val="32"/>
          <w:szCs w:val="32"/>
          <w:shd w:val="clear" w:color="auto" w:fill="FFFFFF"/>
          <w:lang w:val="en-GB" w:eastAsia="en-US"/>
        </w:rPr>
      </w:pPr>
      <w:r w:rsidRPr="00366CF5">
        <w:rPr>
          <w:rFonts w:ascii="Calibri" w:eastAsiaTheme="minorHAnsi" w:hAnsi="Calibri" w:cs="Calibri"/>
          <w:b/>
          <w:bCs/>
          <w:color w:val="201F1E"/>
          <w:kern w:val="0"/>
          <w:sz w:val="32"/>
          <w:szCs w:val="32"/>
          <w:shd w:val="clear" w:color="auto" w:fill="FFFFFF"/>
          <w:lang w:val="en-GB" w:eastAsia="en-US"/>
        </w:rPr>
        <w:t>Investigating Technologies to Enrich Museum Audio Description for Enhancing Accessibility</w:t>
      </w:r>
    </w:p>
    <w:p w14:paraId="0F708A2E" w14:textId="15FB9A59" w:rsidR="00F5005E" w:rsidRPr="002E4CB5" w:rsidRDefault="002E4CB5" w:rsidP="00366CF5">
      <w:pPr>
        <w:widowControl/>
        <w:spacing w:after="160" w:line="259" w:lineRule="auto"/>
        <w:jc w:val="center"/>
        <w:rPr>
          <w:rFonts w:ascii="Segoe UI" w:hAnsi="Segoe UI" w:cs="Segoe UI"/>
          <w:color w:val="000000"/>
          <w:szCs w:val="21"/>
          <w:lang w:val="en-GB"/>
        </w:rPr>
      </w:pPr>
      <w:r>
        <w:rPr>
          <w:rFonts w:ascii="Segoe UI" w:hAnsi="Segoe UI" w:cs="Segoe UI"/>
          <w:b/>
          <w:bCs/>
          <w:color w:val="000000"/>
          <w:szCs w:val="21"/>
          <w:lang w:val="en-GB"/>
        </w:rPr>
        <w:t xml:space="preserve">Dr </w:t>
      </w:r>
      <w:r w:rsidRPr="002E4CB5">
        <w:rPr>
          <w:rFonts w:ascii="Segoe UI" w:hAnsi="Segoe UI" w:cs="Segoe UI"/>
          <w:b/>
          <w:bCs/>
          <w:color w:val="000000"/>
          <w:szCs w:val="21"/>
          <w:lang w:val="en-GB"/>
        </w:rPr>
        <w:t>Xi Wang</w:t>
      </w:r>
      <w:r w:rsidR="00305A8A" w:rsidRPr="002E4CB5">
        <w:rPr>
          <w:rFonts w:ascii="Segoe UI" w:hAnsi="Segoe UI" w:cs="Segoe UI"/>
          <w:b/>
          <w:bCs/>
          <w:color w:val="000000"/>
          <w:szCs w:val="21"/>
          <w:lang w:val="en-GB"/>
        </w:rPr>
        <w:t> </w:t>
      </w:r>
      <w:r w:rsidR="00305A8A" w:rsidRPr="002E4CB5">
        <w:rPr>
          <w:rFonts w:ascii="Segoe UI" w:hAnsi="Segoe UI" w:cs="Segoe UI"/>
          <w:b/>
          <w:bCs/>
          <w:color w:val="000000"/>
          <w:szCs w:val="21"/>
          <w:lang w:val="en-GB"/>
        </w:rPr>
        <w:br/>
      </w:r>
      <w:r w:rsidR="00305A8A" w:rsidRPr="002E4CB5">
        <w:rPr>
          <w:rFonts w:ascii="Segoe UI" w:hAnsi="Segoe UI" w:cs="Segoe UI"/>
          <w:color w:val="000000"/>
          <w:szCs w:val="21"/>
          <w:lang w:val="en-GB"/>
        </w:rPr>
        <w:t>(</w:t>
      </w:r>
      <w:r w:rsidR="00366CF5" w:rsidRPr="002E4CB5">
        <w:rPr>
          <w:rFonts w:ascii="Lato" w:hAnsi="Lato"/>
          <w:color w:val="383838"/>
          <w:shd w:val="clear" w:color="auto" w:fill="FFFFFF"/>
          <w:lang w:val="en-GB"/>
        </w:rPr>
        <w:t>University of Bristol</w:t>
      </w:r>
      <w:r w:rsidR="00305A8A" w:rsidRPr="002E4CB5">
        <w:rPr>
          <w:rFonts w:ascii="Segoe UI" w:hAnsi="Segoe UI" w:cs="Segoe UI"/>
          <w:color w:val="000000"/>
          <w:szCs w:val="21"/>
          <w:lang w:val="en-GB"/>
        </w:rPr>
        <w:t>)</w:t>
      </w:r>
    </w:p>
    <w:p w14:paraId="5226DFAA" w14:textId="752A5B06" w:rsidR="00366CF5" w:rsidRPr="00366CF5" w:rsidRDefault="00366CF5" w:rsidP="00366CF5">
      <w:pPr>
        <w:rPr>
          <w:rFonts w:ascii="Calibri" w:eastAsiaTheme="minorHAnsi" w:hAnsi="Calibri" w:cs="Calibri"/>
          <w:color w:val="201F1E"/>
          <w:kern w:val="0"/>
          <w:sz w:val="22"/>
          <w:shd w:val="clear" w:color="auto" w:fill="FFFFFF"/>
          <w:lang w:val="en-GB" w:eastAsia="en-US"/>
        </w:rPr>
      </w:pPr>
      <w:r w:rsidRPr="00366CF5">
        <w:rPr>
          <w:rFonts w:ascii="Calibri" w:eastAsiaTheme="minorHAnsi" w:hAnsi="Calibri" w:cs="Calibri"/>
          <w:color w:val="201F1E"/>
          <w:kern w:val="0"/>
          <w:sz w:val="22"/>
          <w:shd w:val="clear" w:color="auto" w:fill="FFFFFF"/>
          <w:lang w:val="en-GB" w:eastAsia="en-US"/>
        </w:rPr>
        <w:t>Museums are typically dominated by visual experiences. This means that people who are blind or partially sighted (BPS) tend to be excluded from several aspects of the visitor experience, including emotional engagement. This seminar will examine ways to enrich audio description (AD) and to enhance accessibility and visitor experience for BPS visitors, using new technologies within diverse museum environments. The discussion will focus on two approaches that combine a commitment to low-cost accessibility solutions and emotionally engaged visitor experience.</w:t>
      </w:r>
    </w:p>
    <w:p w14:paraId="3DF14D17" w14:textId="58755E9C" w:rsidR="00366CF5" w:rsidRPr="00366CF5" w:rsidRDefault="00366CF5" w:rsidP="00366CF5">
      <w:pPr>
        <w:rPr>
          <w:rFonts w:ascii="Calibri" w:eastAsiaTheme="minorHAnsi" w:hAnsi="Calibri" w:cs="Calibri"/>
          <w:color w:val="201F1E"/>
          <w:kern w:val="0"/>
          <w:sz w:val="22"/>
          <w:shd w:val="clear" w:color="auto" w:fill="FFFFFF"/>
          <w:lang w:val="en-GB" w:eastAsia="en-US"/>
        </w:rPr>
      </w:pPr>
      <w:r w:rsidRPr="00366CF5">
        <w:rPr>
          <w:rFonts w:ascii="Calibri" w:eastAsiaTheme="minorHAnsi" w:hAnsi="Calibri" w:cs="Calibri"/>
          <w:color w:val="201F1E"/>
          <w:kern w:val="0"/>
          <w:sz w:val="22"/>
          <w:shd w:val="clear" w:color="auto" w:fill="FFFFFF"/>
          <w:lang w:val="en-GB" w:eastAsia="en-US"/>
        </w:rPr>
        <w:t>Firstly, a “story to journey to smart map” approach. This approach presents the museum resources and knowledge as a story in the form of a journey, and then represents this journey physically as a smart map. This approach to museum access is based on the premise that following a story is a universal ability possessed by nearly all humans whatever their sensory ability and people can often relate the journey to their own stories of life’s experience and challenges.</w:t>
      </w:r>
    </w:p>
    <w:p w14:paraId="140F9DF0" w14:textId="506B044A" w:rsidR="00366CF5" w:rsidRPr="00366CF5" w:rsidRDefault="00366CF5" w:rsidP="00366CF5">
      <w:pPr>
        <w:rPr>
          <w:rFonts w:ascii="Calibri" w:eastAsiaTheme="minorHAnsi" w:hAnsi="Calibri" w:cs="Calibri"/>
          <w:color w:val="201F1E"/>
          <w:kern w:val="0"/>
          <w:sz w:val="22"/>
          <w:shd w:val="clear" w:color="auto" w:fill="FFFFFF"/>
          <w:lang w:val="en-GB" w:eastAsia="en-US"/>
        </w:rPr>
      </w:pPr>
      <w:r w:rsidRPr="00366CF5">
        <w:rPr>
          <w:rFonts w:ascii="Calibri" w:eastAsiaTheme="minorHAnsi" w:hAnsi="Calibri" w:cs="Calibri"/>
          <w:color w:val="201F1E"/>
          <w:kern w:val="0"/>
          <w:sz w:val="22"/>
          <w:shd w:val="clear" w:color="auto" w:fill="FFFFFF"/>
          <w:lang w:val="en-GB" w:eastAsia="en-US"/>
        </w:rPr>
        <w:t>Secondly, I propose a major extension to the standard passive audio descriptive device by developing an interactive voice-driven museum audio descriptive guide for Titanic Belfast (</w:t>
      </w:r>
      <w:proofErr w:type="spellStart"/>
      <w:r w:rsidRPr="00366CF5">
        <w:rPr>
          <w:rFonts w:ascii="Calibri" w:eastAsiaTheme="minorHAnsi" w:hAnsi="Calibri" w:cs="Calibri"/>
          <w:color w:val="201F1E"/>
          <w:kern w:val="0"/>
          <w:sz w:val="22"/>
          <w:shd w:val="clear" w:color="auto" w:fill="FFFFFF"/>
          <w:lang w:val="en-GB" w:eastAsia="en-US"/>
        </w:rPr>
        <w:t>TBot</w:t>
      </w:r>
      <w:proofErr w:type="spellEnd"/>
      <w:r w:rsidRPr="00366CF5">
        <w:rPr>
          <w:rFonts w:ascii="Calibri" w:eastAsiaTheme="minorHAnsi" w:hAnsi="Calibri" w:cs="Calibri"/>
          <w:color w:val="201F1E"/>
          <w:kern w:val="0"/>
          <w:sz w:val="22"/>
          <w:shd w:val="clear" w:color="auto" w:fill="FFFFFF"/>
          <w:lang w:val="en-GB" w:eastAsia="en-US"/>
        </w:rPr>
        <w:t xml:space="preserve">), with built-in navigation instructions and a free format Question and Answer facility. This </w:t>
      </w:r>
      <w:proofErr w:type="spellStart"/>
      <w:r w:rsidRPr="00366CF5">
        <w:rPr>
          <w:rFonts w:ascii="Calibri" w:eastAsiaTheme="minorHAnsi" w:hAnsi="Calibri" w:cs="Calibri"/>
          <w:color w:val="201F1E"/>
          <w:kern w:val="0"/>
          <w:sz w:val="22"/>
          <w:shd w:val="clear" w:color="auto" w:fill="FFFFFF"/>
          <w:lang w:val="en-GB" w:eastAsia="en-US"/>
        </w:rPr>
        <w:t>TBot</w:t>
      </w:r>
      <w:proofErr w:type="spellEnd"/>
      <w:r w:rsidRPr="00366CF5">
        <w:rPr>
          <w:rFonts w:ascii="Calibri" w:eastAsiaTheme="minorHAnsi" w:hAnsi="Calibri" w:cs="Calibri"/>
          <w:color w:val="201F1E"/>
          <w:kern w:val="0"/>
          <w:sz w:val="22"/>
          <w:shd w:val="clear" w:color="auto" w:fill="FFFFFF"/>
          <w:lang w:val="en-GB" w:eastAsia="en-US"/>
        </w:rPr>
        <w:t xml:space="preserve"> uses text-to-speech technology, to generate AD from a textual knowledge base; speech recognition for input, to voice-activate the device; and a design platform that easily enables museum staff to produce, update and customise the audio descriptive guide.</w:t>
      </w:r>
    </w:p>
    <w:p w14:paraId="11779F39" w14:textId="362AB9CF" w:rsidR="004B7A8C" w:rsidRDefault="00366CF5" w:rsidP="00366CF5">
      <w:pPr>
        <w:rPr>
          <w:rFonts w:ascii="Calibri" w:eastAsiaTheme="minorHAnsi" w:hAnsi="Calibri" w:cs="Calibri"/>
          <w:color w:val="201F1E"/>
          <w:kern w:val="0"/>
          <w:sz w:val="22"/>
          <w:shd w:val="clear" w:color="auto" w:fill="FFFFFF"/>
          <w:lang w:val="en-GB" w:eastAsia="en-US"/>
        </w:rPr>
      </w:pPr>
      <w:r w:rsidRPr="00366CF5">
        <w:rPr>
          <w:rFonts w:ascii="Calibri" w:eastAsiaTheme="minorHAnsi" w:hAnsi="Calibri" w:cs="Calibri"/>
          <w:color w:val="201F1E"/>
          <w:kern w:val="0"/>
          <w:sz w:val="22"/>
          <w:shd w:val="clear" w:color="auto" w:fill="FFFFFF"/>
          <w:lang w:val="en-GB" w:eastAsia="en-US"/>
        </w:rPr>
        <w:t>Furthermore, this talk will touch on applying the access options in the context of historic gardens and green spaces.</w:t>
      </w:r>
    </w:p>
    <w:p w14:paraId="48AABB0E" w14:textId="77777777" w:rsidR="00366CF5" w:rsidRDefault="00366CF5" w:rsidP="00366CF5">
      <w:pPr>
        <w:rPr>
          <w:rFonts w:cstheme="minorHAnsi"/>
          <w:sz w:val="22"/>
        </w:rPr>
      </w:pPr>
    </w:p>
    <w:p w14:paraId="294A6DD7" w14:textId="2D5F8295" w:rsidR="00366CF5" w:rsidRPr="00366CF5" w:rsidRDefault="00366CF5" w:rsidP="00366CF5">
      <w:pPr>
        <w:jc w:val="left"/>
        <w:rPr>
          <w:rFonts w:cstheme="minorHAnsi"/>
          <w:sz w:val="22"/>
          <w:lang w:val="en"/>
        </w:rPr>
      </w:pPr>
      <w:r w:rsidRPr="00366CF5">
        <w:rPr>
          <w:rFonts w:cstheme="minorHAnsi"/>
          <w:b/>
          <w:bCs/>
          <w:sz w:val="22"/>
          <w:lang w:val="en"/>
        </w:rPr>
        <w:t xml:space="preserve">Xi Wang </w:t>
      </w:r>
      <w:r w:rsidRPr="00366CF5">
        <w:rPr>
          <w:rFonts w:cstheme="minorHAnsi"/>
          <w:sz w:val="22"/>
          <w:lang w:val="en"/>
        </w:rPr>
        <w:t>is Lecturer in Translation Studies at the University of Bristol. Her primary research areas of interest are audiovisual translation and media accessibility. Xi was awarded the Emerging Scholar Award at the 13</w:t>
      </w:r>
      <w:r w:rsidRPr="00366CF5">
        <w:rPr>
          <w:rFonts w:cstheme="minorHAnsi"/>
          <w:sz w:val="22"/>
          <w:vertAlign w:val="superscript"/>
          <w:lang w:val="en"/>
        </w:rPr>
        <w:t>th</w:t>
      </w:r>
      <w:r>
        <w:rPr>
          <w:rFonts w:cstheme="minorHAnsi"/>
          <w:sz w:val="22"/>
          <w:lang w:val="en"/>
        </w:rPr>
        <w:t xml:space="preserve"> </w:t>
      </w:r>
      <w:r w:rsidRPr="00366CF5">
        <w:rPr>
          <w:rFonts w:cstheme="minorHAnsi"/>
          <w:sz w:val="22"/>
          <w:lang w:val="en"/>
        </w:rPr>
        <w:t>and 14</w:t>
      </w:r>
      <w:r w:rsidRPr="00366CF5">
        <w:rPr>
          <w:rFonts w:cstheme="minorHAnsi"/>
          <w:sz w:val="22"/>
          <w:vertAlign w:val="superscript"/>
          <w:lang w:val="en"/>
        </w:rPr>
        <w:t>th</w:t>
      </w:r>
      <w:r>
        <w:rPr>
          <w:rFonts w:cstheme="minorHAnsi"/>
          <w:sz w:val="22"/>
          <w:lang w:val="en"/>
        </w:rPr>
        <w:t xml:space="preserve"> </w:t>
      </w:r>
      <w:r w:rsidRPr="00366CF5">
        <w:rPr>
          <w:rFonts w:cstheme="minorHAnsi"/>
          <w:sz w:val="22"/>
          <w:lang w:val="en"/>
        </w:rPr>
        <w:t>International Conference on the Inclusive Museum. Xi has published peer-reviewed journal articles in the field, including Translation Spaces, Universal Access in the Information Society, and</w:t>
      </w:r>
      <w:r>
        <w:rPr>
          <w:rFonts w:cstheme="minorHAnsi"/>
          <w:sz w:val="22"/>
          <w:lang w:val="en"/>
        </w:rPr>
        <w:t xml:space="preserve"> the</w:t>
      </w:r>
      <w:r w:rsidRPr="00366CF5">
        <w:rPr>
          <w:rFonts w:cstheme="minorHAnsi"/>
          <w:sz w:val="22"/>
          <w:lang w:val="en"/>
        </w:rPr>
        <w:t xml:space="preserve"> Journal of Audiovisual Translation. She is </w:t>
      </w:r>
      <w:r>
        <w:rPr>
          <w:rFonts w:cstheme="minorHAnsi"/>
          <w:sz w:val="22"/>
          <w:lang w:val="en"/>
        </w:rPr>
        <w:t>a</w:t>
      </w:r>
      <w:r w:rsidRPr="00366CF5">
        <w:rPr>
          <w:rFonts w:cstheme="minorHAnsi"/>
          <w:sz w:val="22"/>
          <w:lang w:val="en"/>
        </w:rPr>
        <w:t xml:space="preserve"> member of </w:t>
      </w:r>
      <w:r>
        <w:rPr>
          <w:rFonts w:cstheme="minorHAnsi"/>
          <w:sz w:val="22"/>
          <w:lang w:val="en"/>
        </w:rPr>
        <w:t xml:space="preserve">the </w:t>
      </w:r>
      <w:r w:rsidRPr="00366CF5">
        <w:rPr>
          <w:rFonts w:cstheme="minorHAnsi"/>
          <w:sz w:val="22"/>
          <w:lang w:val="en"/>
        </w:rPr>
        <w:t xml:space="preserve">European Association for Studies in Screen Translation and </w:t>
      </w:r>
      <w:r>
        <w:rPr>
          <w:rFonts w:cstheme="minorHAnsi"/>
          <w:sz w:val="22"/>
          <w:lang w:val="en"/>
        </w:rPr>
        <w:t xml:space="preserve">an </w:t>
      </w:r>
      <w:r w:rsidRPr="00366CF5">
        <w:rPr>
          <w:rFonts w:cstheme="minorHAnsi"/>
          <w:sz w:val="22"/>
          <w:lang w:val="en"/>
        </w:rPr>
        <w:t xml:space="preserve">associate member of </w:t>
      </w:r>
      <w:r>
        <w:rPr>
          <w:rFonts w:cstheme="minorHAnsi"/>
          <w:sz w:val="22"/>
          <w:lang w:val="en"/>
        </w:rPr>
        <w:t xml:space="preserve">the </w:t>
      </w:r>
      <w:r w:rsidRPr="00366CF5">
        <w:rPr>
          <w:rFonts w:cstheme="minorHAnsi"/>
          <w:sz w:val="22"/>
          <w:lang w:val="en"/>
        </w:rPr>
        <w:t>Centre of Port Cities and Maritime Cultures.</w:t>
      </w:r>
    </w:p>
    <w:p w14:paraId="144F0A70" w14:textId="3220A443" w:rsidR="00F5005E" w:rsidRPr="00F5005E" w:rsidRDefault="00F5005E" w:rsidP="00366CF5">
      <w:pPr>
        <w:rPr>
          <w:rFonts w:cstheme="minorHAnsi"/>
          <w:sz w:val="22"/>
          <w:lang w:val="en"/>
        </w:rPr>
      </w:pPr>
    </w:p>
    <w:sectPr w:rsidR="00F5005E" w:rsidRPr="00F5005E" w:rsidSect="00F5005E">
      <w:pgSz w:w="11906" w:h="16838"/>
      <w:pgMar w:top="1440" w:right="1800" w:bottom="849"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1DD971" w14:textId="77777777" w:rsidR="00F20CF0" w:rsidRDefault="00F20CF0" w:rsidP="00144144">
      <w:r>
        <w:separator/>
      </w:r>
    </w:p>
  </w:endnote>
  <w:endnote w:type="continuationSeparator" w:id="0">
    <w:p w14:paraId="26A5D8E7" w14:textId="77777777" w:rsidR="00F20CF0" w:rsidRDefault="00F20CF0" w:rsidP="001441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imSun">
    <w:altName w:val="宋体"/>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200247B" w:usb2="00000009" w:usb3="00000000" w:csb0="000001FF" w:csb1="00000000"/>
  </w:font>
  <w:font w:name="TimesNewRomanPSMT">
    <w:altName w:val="Arial Unicode MS"/>
    <w:panose1 w:val="020B0604020202020204"/>
    <w:charset w:val="00"/>
    <w:family w:val="roman"/>
    <w:notTrueType/>
    <w:pitch w:val="default"/>
    <w:sig w:usb0="00000000" w:usb1="080E0000" w:usb2="00000010"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Segoe UI">
    <w:altName w:val="Calibri"/>
    <w:panose1 w:val="020B0502040204020203"/>
    <w:charset w:val="00"/>
    <w:family w:val="swiss"/>
    <w:pitch w:val="variable"/>
    <w:sig w:usb0="E4002EFF" w:usb1="C000E47F" w:usb2="00000009" w:usb3="00000000" w:csb0="000001FF" w:csb1="00000000"/>
  </w:font>
  <w:font w:name="Lato">
    <w:panose1 w:val="020F0502020204030203"/>
    <w:charset w:val="00"/>
    <w:family w:val="swiss"/>
    <w:pitch w:val="variable"/>
    <w:sig w:usb0="E10002FF" w:usb1="5000ECFF" w:usb2="0000002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45666B" w14:textId="77777777" w:rsidR="00F20CF0" w:rsidRDefault="00F20CF0" w:rsidP="00144144">
      <w:r>
        <w:separator/>
      </w:r>
    </w:p>
  </w:footnote>
  <w:footnote w:type="continuationSeparator" w:id="0">
    <w:p w14:paraId="46E69FD8" w14:textId="77777777" w:rsidR="00F20CF0" w:rsidRDefault="00F20CF0" w:rsidP="001441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EF16EAB"/>
    <w:multiLevelType w:val="hybridMultilevel"/>
    <w:tmpl w:val="ACF25118"/>
    <w:lvl w:ilvl="0" w:tplc="780A8F4E">
      <w:start w:val="1"/>
      <w:numFmt w:val="bullet"/>
      <w:lvlText w:val="•"/>
      <w:lvlJc w:val="left"/>
      <w:pPr>
        <w:tabs>
          <w:tab w:val="num" w:pos="720"/>
        </w:tabs>
        <w:ind w:left="720" w:hanging="360"/>
      </w:pPr>
      <w:rPr>
        <w:rFonts w:ascii="SimSun" w:hAnsi="SimSun" w:hint="default"/>
      </w:rPr>
    </w:lvl>
    <w:lvl w:ilvl="1" w:tplc="294A5B3E" w:tentative="1">
      <w:start w:val="1"/>
      <w:numFmt w:val="bullet"/>
      <w:lvlText w:val="•"/>
      <w:lvlJc w:val="left"/>
      <w:pPr>
        <w:tabs>
          <w:tab w:val="num" w:pos="1440"/>
        </w:tabs>
        <w:ind w:left="1440" w:hanging="360"/>
      </w:pPr>
      <w:rPr>
        <w:rFonts w:ascii="SimSun" w:hAnsi="SimSun" w:hint="default"/>
      </w:rPr>
    </w:lvl>
    <w:lvl w:ilvl="2" w:tplc="D58C1CB6" w:tentative="1">
      <w:start w:val="1"/>
      <w:numFmt w:val="bullet"/>
      <w:lvlText w:val="•"/>
      <w:lvlJc w:val="left"/>
      <w:pPr>
        <w:tabs>
          <w:tab w:val="num" w:pos="2160"/>
        </w:tabs>
        <w:ind w:left="2160" w:hanging="360"/>
      </w:pPr>
      <w:rPr>
        <w:rFonts w:ascii="SimSun" w:hAnsi="SimSun" w:hint="default"/>
      </w:rPr>
    </w:lvl>
    <w:lvl w:ilvl="3" w:tplc="B836784E" w:tentative="1">
      <w:start w:val="1"/>
      <w:numFmt w:val="bullet"/>
      <w:lvlText w:val="•"/>
      <w:lvlJc w:val="left"/>
      <w:pPr>
        <w:tabs>
          <w:tab w:val="num" w:pos="2880"/>
        </w:tabs>
        <w:ind w:left="2880" w:hanging="360"/>
      </w:pPr>
      <w:rPr>
        <w:rFonts w:ascii="SimSun" w:hAnsi="SimSun" w:hint="default"/>
      </w:rPr>
    </w:lvl>
    <w:lvl w:ilvl="4" w:tplc="AFBA25EA" w:tentative="1">
      <w:start w:val="1"/>
      <w:numFmt w:val="bullet"/>
      <w:lvlText w:val="•"/>
      <w:lvlJc w:val="left"/>
      <w:pPr>
        <w:tabs>
          <w:tab w:val="num" w:pos="3600"/>
        </w:tabs>
        <w:ind w:left="3600" w:hanging="360"/>
      </w:pPr>
      <w:rPr>
        <w:rFonts w:ascii="SimSun" w:hAnsi="SimSun" w:hint="default"/>
      </w:rPr>
    </w:lvl>
    <w:lvl w:ilvl="5" w:tplc="CA98B6DA" w:tentative="1">
      <w:start w:val="1"/>
      <w:numFmt w:val="bullet"/>
      <w:lvlText w:val="•"/>
      <w:lvlJc w:val="left"/>
      <w:pPr>
        <w:tabs>
          <w:tab w:val="num" w:pos="4320"/>
        </w:tabs>
        <w:ind w:left="4320" w:hanging="360"/>
      </w:pPr>
      <w:rPr>
        <w:rFonts w:ascii="SimSun" w:hAnsi="SimSun" w:hint="default"/>
      </w:rPr>
    </w:lvl>
    <w:lvl w:ilvl="6" w:tplc="6DACF1E4" w:tentative="1">
      <w:start w:val="1"/>
      <w:numFmt w:val="bullet"/>
      <w:lvlText w:val="•"/>
      <w:lvlJc w:val="left"/>
      <w:pPr>
        <w:tabs>
          <w:tab w:val="num" w:pos="5040"/>
        </w:tabs>
        <w:ind w:left="5040" w:hanging="360"/>
      </w:pPr>
      <w:rPr>
        <w:rFonts w:ascii="SimSun" w:hAnsi="SimSun" w:hint="default"/>
      </w:rPr>
    </w:lvl>
    <w:lvl w:ilvl="7" w:tplc="81921CF2" w:tentative="1">
      <w:start w:val="1"/>
      <w:numFmt w:val="bullet"/>
      <w:lvlText w:val="•"/>
      <w:lvlJc w:val="left"/>
      <w:pPr>
        <w:tabs>
          <w:tab w:val="num" w:pos="5760"/>
        </w:tabs>
        <w:ind w:left="5760" w:hanging="360"/>
      </w:pPr>
      <w:rPr>
        <w:rFonts w:ascii="SimSun" w:hAnsi="SimSun" w:hint="default"/>
      </w:rPr>
    </w:lvl>
    <w:lvl w:ilvl="8" w:tplc="E61ECCE0" w:tentative="1">
      <w:start w:val="1"/>
      <w:numFmt w:val="bullet"/>
      <w:lvlText w:val="•"/>
      <w:lvlJc w:val="left"/>
      <w:pPr>
        <w:tabs>
          <w:tab w:val="num" w:pos="6480"/>
        </w:tabs>
        <w:ind w:left="6480" w:hanging="360"/>
      </w:pPr>
      <w:rPr>
        <w:rFonts w:ascii="SimSun" w:hAnsi="SimSun" w:hint="default"/>
      </w:rPr>
    </w:lvl>
  </w:abstractNum>
  <w:abstractNum w:abstractNumId="1" w15:restartNumberingAfterBreak="0">
    <w:nsid w:val="6CB77408"/>
    <w:multiLevelType w:val="hybridMultilevel"/>
    <w:tmpl w:val="2A6CB640"/>
    <w:lvl w:ilvl="0" w:tplc="4518397E">
      <w:start w:val="1"/>
      <w:numFmt w:val="bullet"/>
      <w:lvlText w:val="•"/>
      <w:lvlJc w:val="left"/>
      <w:pPr>
        <w:tabs>
          <w:tab w:val="num" w:pos="720"/>
        </w:tabs>
        <w:ind w:left="720" w:hanging="360"/>
      </w:pPr>
      <w:rPr>
        <w:rFonts w:ascii="SimSun" w:hAnsi="SimSun" w:hint="default"/>
      </w:rPr>
    </w:lvl>
    <w:lvl w:ilvl="1" w:tplc="29E2364A" w:tentative="1">
      <w:start w:val="1"/>
      <w:numFmt w:val="bullet"/>
      <w:lvlText w:val="•"/>
      <w:lvlJc w:val="left"/>
      <w:pPr>
        <w:tabs>
          <w:tab w:val="num" w:pos="1440"/>
        </w:tabs>
        <w:ind w:left="1440" w:hanging="360"/>
      </w:pPr>
      <w:rPr>
        <w:rFonts w:ascii="SimSun" w:hAnsi="SimSun" w:hint="default"/>
      </w:rPr>
    </w:lvl>
    <w:lvl w:ilvl="2" w:tplc="42647FFC" w:tentative="1">
      <w:start w:val="1"/>
      <w:numFmt w:val="bullet"/>
      <w:lvlText w:val="•"/>
      <w:lvlJc w:val="left"/>
      <w:pPr>
        <w:tabs>
          <w:tab w:val="num" w:pos="2160"/>
        </w:tabs>
        <w:ind w:left="2160" w:hanging="360"/>
      </w:pPr>
      <w:rPr>
        <w:rFonts w:ascii="SimSun" w:hAnsi="SimSun" w:hint="default"/>
      </w:rPr>
    </w:lvl>
    <w:lvl w:ilvl="3" w:tplc="636CBC4A" w:tentative="1">
      <w:start w:val="1"/>
      <w:numFmt w:val="bullet"/>
      <w:lvlText w:val="•"/>
      <w:lvlJc w:val="left"/>
      <w:pPr>
        <w:tabs>
          <w:tab w:val="num" w:pos="2880"/>
        </w:tabs>
        <w:ind w:left="2880" w:hanging="360"/>
      </w:pPr>
      <w:rPr>
        <w:rFonts w:ascii="SimSun" w:hAnsi="SimSun" w:hint="default"/>
      </w:rPr>
    </w:lvl>
    <w:lvl w:ilvl="4" w:tplc="E89676FE" w:tentative="1">
      <w:start w:val="1"/>
      <w:numFmt w:val="bullet"/>
      <w:lvlText w:val="•"/>
      <w:lvlJc w:val="left"/>
      <w:pPr>
        <w:tabs>
          <w:tab w:val="num" w:pos="3600"/>
        </w:tabs>
        <w:ind w:left="3600" w:hanging="360"/>
      </w:pPr>
      <w:rPr>
        <w:rFonts w:ascii="SimSun" w:hAnsi="SimSun" w:hint="default"/>
      </w:rPr>
    </w:lvl>
    <w:lvl w:ilvl="5" w:tplc="5C3CD7C4" w:tentative="1">
      <w:start w:val="1"/>
      <w:numFmt w:val="bullet"/>
      <w:lvlText w:val="•"/>
      <w:lvlJc w:val="left"/>
      <w:pPr>
        <w:tabs>
          <w:tab w:val="num" w:pos="4320"/>
        </w:tabs>
        <w:ind w:left="4320" w:hanging="360"/>
      </w:pPr>
      <w:rPr>
        <w:rFonts w:ascii="SimSun" w:hAnsi="SimSun" w:hint="default"/>
      </w:rPr>
    </w:lvl>
    <w:lvl w:ilvl="6" w:tplc="0F6605CE" w:tentative="1">
      <w:start w:val="1"/>
      <w:numFmt w:val="bullet"/>
      <w:lvlText w:val="•"/>
      <w:lvlJc w:val="left"/>
      <w:pPr>
        <w:tabs>
          <w:tab w:val="num" w:pos="5040"/>
        </w:tabs>
        <w:ind w:left="5040" w:hanging="360"/>
      </w:pPr>
      <w:rPr>
        <w:rFonts w:ascii="SimSun" w:hAnsi="SimSun" w:hint="default"/>
      </w:rPr>
    </w:lvl>
    <w:lvl w:ilvl="7" w:tplc="279E223A" w:tentative="1">
      <w:start w:val="1"/>
      <w:numFmt w:val="bullet"/>
      <w:lvlText w:val="•"/>
      <w:lvlJc w:val="left"/>
      <w:pPr>
        <w:tabs>
          <w:tab w:val="num" w:pos="5760"/>
        </w:tabs>
        <w:ind w:left="5760" w:hanging="360"/>
      </w:pPr>
      <w:rPr>
        <w:rFonts w:ascii="SimSun" w:hAnsi="SimSun" w:hint="default"/>
      </w:rPr>
    </w:lvl>
    <w:lvl w:ilvl="8" w:tplc="5C22F0C4" w:tentative="1">
      <w:start w:val="1"/>
      <w:numFmt w:val="bullet"/>
      <w:lvlText w:val="•"/>
      <w:lvlJc w:val="left"/>
      <w:pPr>
        <w:tabs>
          <w:tab w:val="num" w:pos="6480"/>
        </w:tabs>
        <w:ind w:left="6480" w:hanging="360"/>
      </w:pPr>
      <w:rPr>
        <w:rFonts w:ascii="SimSun" w:hAnsi="SimSun" w:hint="default"/>
      </w:rPr>
    </w:lvl>
  </w:abstractNum>
  <w:num w:numId="1" w16cid:durableId="1746996087">
    <w:abstractNumId w:val="0"/>
  </w:num>
  <w:num w:numId="2" w16cid:durableId="40554076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A1F"/>
    <w:rsid w:val="000B1303"/>
    <w:rsid w:val="000B655C"/>
    <w:rsid w:val="0010249A"/>
    <w:rsid w:val="00144144"/>
    <w:rsid w:val="00252CCE"/>
    <w:rsid w:val="002D476F"/>
    <w:rsid w:val="002E4CB5"/>
    <w:rsid w:val="00305A8A"/>
    <w:rsid w:val="00307A1F"/>
    <w:rsid w:val="00366CF5"/>
    <w:rsid w:val="003D1873"/>
    <w:rsid w:val="0041167E"/>
    <w:rsid w:val="00421FA9"/>
    <w:rsid w:val="004B7A8C"/>
    <w:rsid w:val="004D0A7A"/>
    <w:rsid w:val="005B665F"/>
    <w:rsid w:val="005C0A54"/>
    <w:rsid w:val="005D0A66"/>
    <w:rsid w:val="00647CAF"/>
    <w:rsid w:val="006D4E9E"/>
    <w:rsid w:val="006F1FB4"/>
    <w:rsid w:val="00745E01"/>
    <w:rsid w:val="007A5B13"/>
    <w:rsid w:val="007C701B"/>
    <w:rsid w:val="007F3F6F"/>
    <w:rsid w:val="00814BAB"/>
    <w:rsid w:val="00864D06"/>
    <w:rsid w:val="009E55FB"/>
    <w:rsid w:val="00A227AB"/>
    <w:rsid w:val="00AC587A"/>
    <w:rsid w:val="00B0321C"/>
    <w:rsid w:val="00B46498"/>
    <w:rsid w:val="00B977BA"/>
    <w:rsid w:val="00CA4596"/>
    <w:rsid w:val="00D34E2F"/>
    <w:rsid w:val="00D4627E"/>
    <w:rsid w:val="00D5420D"/>
    <w:rsid w:val="00DF0F8A"/>
    <w:rsid w:val="00EA75D2"/>
    <w:rsid w:val="00F20CF0"/>
    <w:rsid w:val="00F33A5B"/>
    <w:rsid w:val="00F4099D"/>
    <w:rsid w:val="00F5005E"/>
    <w:rsid w:val="00F7491E"/>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779F31"/>
  <w15:docId w15:val="{561142D9-92F6-F24A-A813-863618819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0A54"/>
    <w:pPr>
      <w:widowControl w:val="0"/>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44144"/>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144144"/>
    <w:rPr>
      <w:sz w:val="18"/>
      <w:szCs w:val="18"/>
    </w:rPr>
  </w:style>
  <w:style w:type="paragraph" w:styleId="Footer">
    <w:name w:val="footer"/>
    <w:basedOn w:val="Normal"/>
    <w:link w:val="FooterChar"/>
    <w:uiPriority w:val="99"/>
    <w:unhideWhenUsed/>
    <w:rsid w:val="00144144"/>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rsid w:val="00144144"/>
    <w:rPr>
      <w:sz w:val="18"/>
      <w:szCs w:val="18"/>
    </w:rPr>
  </w:style>
  <w:style w:type="paragraph" w:styleId="ListParagraph">
    <w:name w:val="List Paragraph"/>
    <w:basedOn w:val="Normal"/>
    <w:uiPriority w:val="34"/>
    <w:qFormat/>
    <w:rsid w:val="00144144"/>
    <w:pPr>
      <w:widowControl/>
      <w:ind w:firstLineChars="200" w:firstLine="420"/>
      <w:jc w:val="left"/>
    </w:pPr>
    <w:rPr>
      <w:rFonts w:ascii="SimSun" w:eastAsia="SimSun" w:hAnsi="SimSun" w:cs="SimSun"/>
      <w:kern w:val="0"/>
      <w:sz w:val="24"/>
      <w:szCs w:val="24"/>
    </w:rPr>
  </w:style>
  <w:style w:type="paragraph" w:styleId="NormalWeb">
    <w:name w:val="Normal (Web)"/>
    <w:basedOn w:val="Normal"/>
    <w:semiHidden/>
    <w:unhideWhenUsed/>
    <w:rsid w:val="00745E01"/>
    <w:pPr>
      <w:widowControl/>
      <w:spacing w:before="100" w:beforeAutospacing="1" w:after="100" w:afterAutospacing="1"/>
      <w:jc w:val="left"/>
    </w:pPr>
    <w:rPr>
      <w:rFonts w:ascii="Times New Roman" w:eastAsia="SimSun" w:hAnsi="Times New Roman" w:cs="Times New Roman"/>
      <w:kern w:val="0"/>
      <w:sz w:val="24"/>
      <w:szCs w:val="24"/>
    </w:rPr>
  </w:style>
  <w:style w:type="paragraph" w:styleId="FootnoteText">
    <w:name w:val="footnote text"/>
    <w:basedOn w:val="Normal"/>
    <w:link w:val="FootnoteTextChar"/>
    <w:semiHidden/>
    <w:unhideWhenUsed/>
    <w:rsid w:val="00745E01"/>
    <w:pPr>
      <w:snapToGrid w:val="0"/>
      <w:jc w:val="left"/>
    </w:pPr>
    <w:rPr>
      <w:rFonts w:ascii="Times New Roman" w:eastAsia="SimSun" w:hAnsi="Times New Roman" w:cs="Times New Roman"/>
      <w:sz w:val="18"/>
      <w:szCs w:val="18"/>
    </w:rPr>
  </w:style>
  <w:style w:type="character" w:customStyle="1" w:styleId="FootnoteTextChar">
    <w:name w:val="Footnote Text Char"/>
    <w:basedOn w:val="DefaultParagraphFont"/>
    <w:link w:val="FootnoteText"/>
    <w:semiHidden/>
    <w:rsid w:val="00745E01"/>
    <w:rPr>
      <w:rFonts w:ascii="Times New Roman" w:eastAsia="SimSun" w:hAnsi="Times New Roman" w:cs="Times New Roman"/>
      <w:sz w:val="18"/>
      <w:szCs w:val="18"/>
    </w:rPr>
  </w:style>
  <w:style w:type="character" w:styleId="FootnoteReference">
    <w:name w:val="footnote reference"/>
    <w:basedOn w:val="DefaultParagraphFont"/>
    <w:semiHidden/>
    <w:unhideWhenUsed/>
    <w:rsid w:val="00745E01"/>
    <w:rPr>
      <w:vertAlign w:val="superscript"/>
    </w:rPr>
  </w:style>
  <w:style w:type="paragraph" w:styleId="DocumentMap">
    <w:name w:val="Document Map"/>
    <w:basedOn w:val="Normal"/>
    <w:link w:val="DocumentMapChar"/>
    <w:uiPriority w:val="99"/>
    <w:semiHidden/>
    <w:unhideWhenUsed/>
    <w:rsid w:val="00F33A5B"/>
    <w:rPr>
      <w:rFonts w:ascii="SimSun" w:eastAsia="SimSun"/>
      <w:sz w:val="18"/>
      <w:szCs w:val="18"/>
    </w:rPr>
  </w:style>
  <w:style w:type="character" w:customStyle="1" w:styleId="DocumentMapChar">
    <w:name w:val="Document Map Char"/>
    <w:basedOn w:val="DefaultParagraphFont"/>
    <w:link w:val="DocumentMap"/>
    <w:uiPriority w:val="99"/>
    <w:semiHidden/>
    <w:rsid w:val="00F33A5B"/>
    <w:rPr>
      <w:rFonts w:ascii="SimSun" w:eastAsia="SimSu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640639">
      <w:bodyDiv w:val="1"/>
      <w:marLeft w:val="0"/>
      <w:marRight w:val="0"/>
      <w:marTop w:val="0"/>
      <w:marBottom w:val="0"/>
      <w:divBdr>
        <w:top w:val="none" w:sz="0" w:space="0" w:color="auto"/>
        <w:left w:val="none" w:sz="0" w:space="0" w:color="auto"/>
        <w:bottom w:val="none" w:sz="0" w:space="0" w:color="auto"/>
        <w:right w:val="none" w:sz="0" w:space="0" w:color="auto"/>
      </w:divBdr>
    </w:div>
    <w:div w:id="211385728">
      <w:bodyDiv w:val="1"/>
      <w:marLeft w:val="0"/>
      <w:marRight w:val="0"/>
      <w:marTop w:val="0"/>
      <w:marBottom w:val="0"/>
      <w:divBdr>
        <w:top w:val="none" w:sz="0" w:space="0" w:color="auto"/>
        <w:left w:val="none" w:sz="0" w:space="0" w:color="auto"/>
        <w:bottom w:val="none" w:sz="0" w:space="0" w:color="auto"/>
        <w:right w:val="none" w:sz="0" w:space="0" w:color="auto"/>
      </w:divBdr>
    </w:div>
    <w:div w:id="706301488">
      <w:bodyDiv w:val="1"/>
      <w:marLeft w:val="0"/>
      <w:marRight w:val="0"/>
      <w:marTop w:val="0"/>
      <w:marBottom w:val="0"/>
      <w:divBdr>
        <w:top w:val="none" w:sz="0" w:space="0" w:color="auto"/>
        <w:left w:val="none" w:sz="0" w:space="0" w:color="auto"/>
        <w:bottom w:val="none" w:sz="0" w:space="0" w:color="auto"/>
        <w:right w:val="none" w:sz="0" w:space="0" w:color="auto"/>
      </w:divBdr>
    </w:div>
    <w:div w:id="869994372">
      <w:bodyDiv w:val="1"/>
      <w:marLeft w:val="0"/>
      <w:marRight w:val="0"/>
      <w:marTop w:val="0"/>
      <w:marBottom w:val="0"/>
      <w:divBdr>
        <w:top w:val="none" w:sz="0" w:space="0" w:color="auto"/>
        <w:left w:val="none" w:sz="0" w:space="0" w:color="auto"/>
        <w:bottom w:val="none" w:sz="0" w:space="0" w:color="auto"/>
        <w:right w:val="none" w:sz="0" w:space="0" w:color="auto"/>
      </w:divBdr>
    </w:div>
    <w:div w:id="939949490">
      <w:bodyDiv w:val="1"/>
      <w:marLeft w:val="0"/>
      <w:marRight w:val="0"/>
      <w:marTop w:val="0"/>
      <w:marBottom w:val="0"/>
      <w:divBdr>
        <w:top w:val="none" w:sz="0" w:space="0" w:color="auto"/>
        <w:left w:val="none" w:sz="0" w:space="0" w:color="auto"/>
        <w:bottom w:val="none" w:sz="0" w:space="0" w:color="auto"/>
        <w:right w:val="none" w:sz="0" w:space="0" w:color="auto"/>
      </w:divBdr>
    </w:div>
    <w:div w:id="1442258150">
      <w:bodyDiv w:val="1"/>
      <w:marLeft w:val="0"/>
      <w:marRight w:val="0"/>
      <w:marTop w:val="0"/>
      <w:marBottom w:val="0"/>
      <w:divBdr>
        <w:top w:val="none" w:sz="0" w:space="0" w:color="auto"/>
        <w:left w:val="none" w:sz="0" w:space="0" w:color="auto"/>
        <w:bottom w:val="none" w:sz="0" w:space="0" w:color="auto"/>
        <w:right w:val="none" w:sz="0" w:space="0" w:color="auto"/>
      </w:divBdr>
    </w:div>
    <w:div w:id="1968701620">
      <w:bodyDiv w:val="1"/>
      <w:marLeft w:val="0"/>
      <w:marRight w:val="0"/>
      <w:marTop w:val="0"/>
      <w:marBottom w:val="0"/>
      <w:divBdr>
        <w:top w:val="none" w:sz="0" w:space="0" w:color="auto"/>
        <w:left w:val="none" w:sz="0" w:space="0" w:color="auto"/>
        <w:bottom w:val="none" w:sz="0" w:space="0" w:color="auto"/>
        <w:right w:val="none" w:sz="0" w:space="0" w:color="auto"/>
      </w:divBdr>
      <w:divsChild>
        <w:div w:id="1751654425">
          <w:marLeft w:val="547"/>
          <w:marRight w:val="0"/>
          <w:marTop w:val="163"/>
          <w:marBottom w:val="0"/>
          <w:divBdr>
            <w:top w:val="none" w:sz="0" w:space="0" w:color="auto"/>
            <w:left w:val="none" w:sz="0" w:space="0" w:color="auto"/>
            <w:bottom w:val="none" w:sz="0" w:space="0" w:color="auto"/>
            <w:right w:val="none" w:sz="0" w:space="0" w:color="auto"/>
          </w:divBdr>
        </w:div>
      </w:divsChild>
    </w:div>
    <w:div w:id="2086563212">
      <w:bodyDiv w:val="1"/>
      <w:marLeft w:val="0"/>
      <w:marRight w:val="0"/>
      <w:marTop w:val="0"/>
      <w:marBottom w:val="0"/>
      <w:divBdr>
        <w:top w:val="none" w:sz="0" w:space="0" w:color="auto"/>
        <w:left w:val="none" w:sz="0" w:space="0" w:color="auto"/>
        <w:bottom w:val="none" w:sz="0" w:space="0" w:color="auto"/>
        <w:right w:val="none" w:sz="0" w:space="0" w:color="auto"/>
      </w:divBdr>
      <w:divsChild>
        <w:div w:id="1016349467">
          <w:marLeft w:val="547"/>
          <w:marRight w:val="0"/>
          <w:marTop w:val="134"/>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384</Words>
  <Characters>2190</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City University of Hong Kong</Company>
  <LinksUpToDate>false</LinksUpToDate>
  <CharactersWithSpaces>2569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wangn</dc:creator>
  <cp:lastModifiedBy>Orrego-Carmona, David</cp:lastModifiedBy>
  <cp:revision>16</cp:revision>
  <dcterms:created xsi:type="dcterms:W3CDTF">2022-10-27T08:33:00Z</dcterms:created>
  <dcterms:modified xsi:type="dcterms:W3CDTF">2023-10-06T12:12:00Z</dcterms:modified>
</cp:coreProperties>
</file>