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779F31" w14:textId="77777777" w:rsidR="00307A1F" w:rsidRDefault="00307A1F" w:rsidP="007A5B13">
      <w:pPr>
        <w:rPr>
          <w:rFonts w:ascii="Times New Roman" w:eastAsia="TimesNewRomanPSMT" w:hAnsi="Times New Roman" w:cs="Times New Roman"/>
          <w:color w:val="5A5858"/>
          <w:kern w:val="0"/>
          <w:sz w:val="24"/>
          <w:szCs w:val="24"/>
        </w:rPr>
      </w:pPr>
    </w:p>
    <w:p w14:paraId="553613B1" w14:textId="77777777" w:rsidR="0010249A" w:rsidRDefault="0010249A" w:rsidP="0010249A">
      <w:pPr>
        <w:shd w:val="clear" w:color="auto" w:fill="FFFFFF"/>
        <w:jc w:val="center"/>
        <w:textAlignment w:val="baseline"/>
        <w:rPr>
          <w:rFonts w:eastAsia="DengXian" w:cstheme="minorHAnsi"/>
          <w:b/>
          <w:bCs/>
          <w:color w:val="201F1E"/>
          <w:sz w:val="32"/>
          <w:szCs w:val="32"/>
          <w:bdr w:val="none" w:sz="0" w:space="0" w:color="auto" w:frame="1"/>
          <w:lang w:eastAsia="en-GB"/>
        </w:rPr>
      </w:pPr>
      <w:r w:rsidRPr="00DC3E88">
        <w:rPr>
          <w:rFonts w:eastAsia="DengXian" w:cstheme="minorHAnsi"/>
          <w:b/>
          <w:bCs/>
          <w:color w:val="201F1E"/>
          <w:sz w:val="32"/>
          <w:szCs w:val="32"/>
          <w:bdr w:val="none" w:sz="0" w:space="0" w:color="auto" w:frame="1"/>
          <w:lang w:eastAsia="en-GB"/>
        </w:rPr>
        <w:t xml:space="preserve">University of Warwick </w:t>
      </w:r>
    </w:p>
    <w:p w14:paraId="169E5587" w14:textId="46B5F1AB" w:rsidR="0010249A" w:rsidRDefault="0010249A" w:rsidP="0010249A">
      <w:pPr>
        <w:shd w:val="clear" w:color="auto" w:fill="FFFFFF"/>
        <w:jc w:val="center"/>
        <w:textAlignment w:val="baseline"/>
        <w:rPr>
          <w:rFonts w:eastAsia="DengXian" w:cstheme="minorHAnsi"/>
          <w:b/>
          <w:bCs/>
          <w:color w:val="201F1E"/>
          <w:sz w:val="32"/>
          <w:szCs w:val="32"/>
          <w:bdr w:val="none" w:sz="0" w:space="0" w:color="auto" w:frame="1"/>
          <w:lang w:eastAsia="en-GB"/>
        </w:rPr>
      </w:pPr>
      <w:r w:rsidRPr="00DC3E88">
        <w:rPr>
          <w:rFonts w:eastAsia="DengXian" w:cstheme="minorHAnsi"/>
          <w:b/>
          <w:bCs/>
          <w:color w:val="201F1E"/>
          <w:sz w:val="32"/>
          <w:szCs w:val="32"/>
          <w:bdr w:val="none" w:sz="0" w:space="0" w:color="auto" w:frame="1"/>
          <w:lang w:eastAsia="en-GB"/>
        </w:rPr>
        <w:t>Translation and Transcultural Studies Research Seminars</w:t>
      </w:r>
    </w:p>
    <w:p w14:paraId="6C3A9066" w14:textId="4508247A" w:rsidR="000B1303" w:rsidRDefault="000B1303" w:rsidP="0010249A">
      <w:pPr>
        <w:shd w:val="clear" w:color="auto" w:fill="FFFFFF"/>
        <w:jc w:val="center"/>
        <w:textAlignment w:val="baseline"/>
        <w:rPr>
          <w:rFonts w:eastAsia="DengXian" w:cstheme="minorHAnsi"/>
          <w:b/>
          <w:bCs/>
          <w:color w:val="201F1E"/>
          <w:sz w:val="32"/>
          <w:szCs w:val="32"/>
          <w:bdr w:val="none" w:sz="0" w:space="0" w:color="auto" w:frame="1"/>
          <w:lang w:eastAsia="en-GB"/>
        </w:rPr>
      </w:pPr>
      <w:r>
        <w:rPr>
          <w:rFonts w:eastAsia="DengXian" w:cstheme="minorHAnsi"/>
          <w:b/>
          <w:bCs/>
          <w:color w:val="201F1E"/>
          <w:sz w:val="32"/>
          <w:szCs w:val="32"/>
          <w:bdr w:val="none" w:sz="0" w:space="0" w:color="auto" w:frame="1"/>
          <w:lang w:eastAsia="en-GB"/>
        </w:rPr>
        <w:t>2023-2024</w:t>
      </w:r>
    </w:p>
    <w:p w14:paraId="4D051592" w14:textId="77777777" w:rsidR="003D1873" w:rsidRPr="00C94E40" w:rsidRDefault="003D1873" w:rsidP="00C94E40">
      <w:pPr>
        <w:jc w:val="center"/>
        <w:textAlignment w:val="baseline"/>
        <w:rPr>
          <w:rFonts w:eastAsia="DengXian" w:cstheme="minorHAnsi"/>
          <w:b/>
          <w:bCs/>
          <w:sz w:val="32"/>
          <w:szCs w:val="32"/>
          <w:bdr w:val="none" w:sz="0" w:space="0" w:color="auto" w:frame="1"/>
          <w:lang w:eastAsia="en-GB"/>
        </w:rPr>
      </w:pPr>
    </w:p>
    <w:p w14:paraId="5343E8EB" w14:textId="77777777" w:rsidR="0010249A" w:rsidRPr="00C94E40" w:rsidRDefault="0010249A" w:rsidP="00C94E40">
      <w:pPr>
        <w:jc w:val="center"/>
        <w:textAlignment w:val="baseline"/>
        <w:rPr>
          <w:rFonts w:eastAsia="DengXian" w:cstheme="minorHAnsi"/>
          <w:b/>
          <w:bCs/>
          <w:sz w:val="24"/>
          <w:szCs w:val="24"/>
          <w:bdr w:val="none" w:sz="0" w:space="0" w:color="auto" w:frame="1"/>
          <w:lang w:eastAsia="en-GB"/>
        </w:rPr>
      </w:pPr>
    </w:p>
    <w:p w14:paraId="7C25E7AF" w14:textId="0C37BC3B" w:rsidR="00EE4BCE" w:rsidRPr="00C94E40" w:rsidRDefault="00EE4BCE" w:rsidP="00C94E40">
      <w:pPr>
        <w:jc w:val="center"/>
        <w:textAlignment w:val="baseline"/>
        <w:rPr>
          <w:rFonts w:eastAsia="DengXian" w:cstheme="minorHAnsi"/>
          <w:bCs/>
          <w:i/>
          <w:sz w:val="24"/>
          <w:szCs w:val="24"/>
          <w:bdr w:val="none" w:sz="0" w:space="0" w:color="auto" w:frame="1"/>
          <w:lang w:eastAsia="en-GB"/>
        </w:rPr>
      </w:pPr>
      <w:r w:rsidRPr="00C94E40">
        <w:rPr>
          <w:rFonts w:eastAsia="DengXian" w:cstheme="minorHAnsi"/>
          <w:bCs/>
          <w:i/>
          <w:sz w:val="24"/>
          <w:szCs w:val="24"/>
          <w:bdr w:val="none" w:sz="0" w:space="0" w:color="auto" w:frame="1"/>
          <w:lang w:eastAsia="en-GB"/>
        </w:rPr>
        <w:t>Wednesday 24 January, 4:00-5:00 pm (UK time)</w:t>
      </w:r>
      <w:r w:rsidRPr="00C94E40">
        <w:rPr>
          <w:rFonts w:eastAsia="DengXian" w:cstheme="minorHAnsi"/>
          <w:bCs/>
          <w:i/>
          <w:sz w:val="24"/>
          <w:szCs w:val="24"/>
          <w:bdr w:val="none" w:sz="0" w:space="0" w:color="auto" w:frame="1"/>
          <w:lang w:eastAsia="en-GB"/>
        </w:rPr>
        <w:br/>
      </w:r>
      <w:r w:rsidRPr="00C94E40">
        <w:rPr>
          <w:rFonts w:eastAsia="DengXian" w:cstheme="minorHAnsi"/>
          <w:bCs/>
          <w:i/>
          <w:sz w:val="24"/>
          <w:szCs w:val="24"/>
          <w:bdr w:val="none" w:sz="0" w:space="0" w:color="auto" w:frame="1"/>
          <w:lang w:eastAsia="en-GB"/>
        </w:rPr>
        <w:t>Hybrid</w:t>
      </w:r>
    </w:p>
    <w:p w14:paraId="53F4A274" w14:textId="764FF93D" w:rsidR="007C701B" w:rsidRPr="00C94E40" w:rsidRDefault="007C701B" w:rsidP="00C94E40">
      <w:pPr>
        <w:jc w:val="center"/>
        <w:textAlignment w:val="baseline"/>
        <w:rPr>
          <w:rFonts w:eastAsia="DengXian" w:cstheme="minorHAnsi"/>
          <w:bCs/>
          <w:i/>
          <w:sz w:val="24"/>
          <w:szCs w:val="24"/>
          <w:bdr w:val="none" w:sz="0" w:space="0" w:color="auto" w:frame="1"/>
          <w:lang w:eastAsia="en-GB"/>
        </w:rPr>
      </w:pPr>
    </w:p>
    <w:p w14:paraId="06730255" w14:textId="77777777" w:rsidR="003D1873" w:rsidRPr="00C94E40" w:rsidRDefault="003D1873" w:rsidP="00C94E40">
      <w:pPr>
        <w:textAlignment w:val="baseline"/>
        <w:rPr>
          <w:rFonts w:eastAsia="DengXian" w:cstheme="minorHAnsi"/>
          <w:bCs/>
          <w:i/>
          <w:sz w:val="24"/>
          <w:szCs w:val="24"/>
          <w:bdr w:val="none" w:sz="0" w:space="0" w:color="auto" w:frame="1"/>
          <w:lang w:eastAsia="en-GB"/>
        </w:rPr>
      </w:pPr>
    </w:p>
    <w:p w14:paraId="11779F32" w14:textId="7D5A03B1" w:rsidR="00745E01" w:rsidRPr="00C94E40" w:rsidRDefault="00C94E40" w:rsidP="00C94E40">
      <w:pPr>
        <w:widowControl/>
        <w:spacing w:after="160" w:line="259" w:lineRule="auto"/>
        <w:jc w:val="center"/>
        <w:rPr>
          <w:rFonts w:ascii="Calibri" w:eastAsiaTheme="minorHAnsi" w:hAnsi="Calibri" w:cs="Calibri"/>
          <w:b/>
          <w:bCs/>
          <w:i/>
          <w:iCs/>
          <w:kern w:val="0"/>
          <w:sz w:val="32"/>
          <w:szCs w:val="32"/>
          <w:shd w:val="clear" w:color="auto" w:fill="FFFFFF"/>
          <w:lang w:val="en-GB" w:eastAsia="en-US"/>
        </w:rPr>
      </w:pPr>
      <w:r w:rsidRPr="00C94E40">
        <w:rPr>
          <w:rFonts w:ascii="Calibri" w:eastAsiaTheme="minorHAnsi" w:hAnsi="Calibri" w:cs="Calibri"/>
          <w:b/>
          <w:bCs/>
          <w:kern w:val="0"/>
          <w:sz w:val="32"/>
          <w:szCs w:val="32"/>
          <w:shd w:val="clear" w:color="auto" w:fill="FFFFFF"/>
          <w:lang w:val="en-GB" w:eastAsia="en-US"/>
        </w:rPr>
        <w:t xml:space="preserve">Translating Nonhuman Agency in </w:t>
      </w:r>
      <w:r w:rsidRPr="00C94E40">
        <w:rPr>
          <w:rFonts w:ascii="Calibri" w:eastAsiaTheme="minorHAnsi" w:hAnsi="Calibri" w:cs="Calibri"/>
          <w:b/>
          <w:bCs/>
          <w:i/>
          <w:iCs/>
          <w:kern w:val="0"/>
          <w:sz w:val="32"/>
          <w:szCs w:val="32"/>
          <w:shd w:val="clear" w:color="auto" w:fill="FFFFFF"/>
          <w:lang w:val="en-GB" w:eastAsia="en-US"/>
        </w:rPr>
        <w:t>The Zhuangzi</w:t>
      </w:r>
    </w:p>
    <w:p w14:paraId="0F708A2E" w14:textId="03289E22" w:rsidR="00F5005E" w:rsidRPr="00C94E40" w:rsidRDefault="00C94E40" w:rsidP="00C94E40">
      <w:pPr>
        <w:widowControl/>
        <w:spacing w:after="160" w:line="259" w:lineRule="auto"/>
        <w:jc w:val="center"/>
        <w:rPr>
          <w:rFonts w:ascii="Segoe UI" w:hAnsi="Segoe UI" w:cs="Segoe UI"/>
          <w:szCs w:val="21"/>
          <w:lang w:val="en-GB"/>
        </w:rPr>
      </w:pPr>
      <w:r>
        <w:rPr>
          <w:rFonts w:ascii="Segoe UI" w:hAnsi="Segoe UI" w:cs="Segoe UI"/>
          <w:b/>
          <w:bCs/>
          <w:szCs w:val="21"/>
          <w:lang w:val="en-GB"/>
        </w:rPr>
        <w:t xml:space="preserve">Prof </w:t>
      </w:r>
      <w:r w:rsidRPr="00C94E40">
        <w:rPr>
          <w:rFonts w:ascii="Segoe UI" w:hAnsi="Segoe UI" w:cs="Segoe UI"/>
          <w:b/>
          <w:bCs/>
          <w:szCs w:val="21"/>
          <w:lang w:val="en-GB"/>
        </w:rPr>
        <w:t>Quan Wang</w:t>
      </w:r>
      <w:r w:rsidR="00305A8A" w:rsidRPr="00C94E40">
        <w:rPr>
          <w:rFonts w:ascii="Segoe UI" w:hAnsi="Segoe UI" w:cs="Segoe UI"/>
          <w:b/>
          <w:bCs/>
          <w:szCs w:val="21"/>
          <w:lang w:val="en-GB"/>
        </w:rPr>
        <w:t> </w:t>
      </w:r>
      <w:r w:rsidR="00305A8A" w:rsidRPr="00C94E40">
        <w:rPr>
          <w:rFonts w:ascii="Segoe UI" w:hAnsi="Segoe UI" w:cs="Segoe UI"/>
          <w:b/>
          <w:bCs/>
          <w:szCs w:val="21"/>
          <w:lang w:val="en-GB"/>
        </w:rPr>
        <w:br/>
      </w:r>
      <w:r w:rsidR="00305A8A" w:rsidRPr="00C94E40">
        <w:rPr>
          <w:rFonts w:ascii="Segoe UI" w:hAnsi="Segoe UI" w:cs="Segoe UI"/>
          <w:szCs w:val="21"/>
          <w:lang w:val="en-GB"/>
        </w:rPr>
        <w:t>(</w:t>
      </w:r>
      <w:proofErr w:type="spellStart"/>
      <w:r w:rsidRPr="00C94E40">
        <w:rPr>
          <w:rFonts w:ascii="Lato" w:hAnsi="Lato"/>
          <w:shd w:val="clear" w:color="auto" w:fill="FFFFFF"/>
          <w:lang w:val="en-GB"/>
        </w:rPr>
        <w:t>Beihang</w:t>
      </w:r>
      <w:proofErr w:type="spellEnd"/>
      <w:r w:rsidRPr="00C94E40">
        <w:rPr>
          <w:rFonts w:ascii="Lato" w:hAnsi="Lato"/>
          <w:shd w:val="clear" w:color="auto" w:fill="FFFFFF"/>
          <w:lang w:val="en-GB"/>
        </w:rPr>
        <w:t xml:space="preserve"> University</w:t>
      </w:r>
      <w:r w:rsidR="00305A8A" w:rsidRPr="00C94E40">
        <w:rPr>
          <w:rFonts w:ascii="Segoe UI" w:hAnsi="Segoe UI" w:cs="Segoe UI"/>
          <w:szCs w:val="21"/>
          <w:lang w:val="en-GB"/>
        </w:rPr>
        <w:t>)</w:t>
      </w:r>
    </w:p>
    <w:p w14:paraId="0A7D5A70" w14:textId="77777777" w:rsidR="00C94E40" w:rsidRPr="00C94E40" w:rsidRDefault="00C94E40" w:rsidP="00C94E40">
      <w:pPr>
        <w:pStyle w:val="s7"/>
        <w:spacing w:before="0" w:beforeAutospacing="0" w:after="0" w:afterAutospacing="0" w:line="216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C94E40">
        <w:rPr>
          <w:rStyle w:val="s5"/>
          <w:rFonts w:asciiTheme="minorHAnsi" w:hAnsiTheme="minorHAnsi" w:cstheme="minorHAnsi"/>
          <w:sz w:val="22"/>
          <w:szCs w:val="22"/>
        </w:rPr>
        <w:t>Zhuangzi advocates</w:t>
      </w:r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>“equality of things”</w:t>
      </w:r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>and frequently examines the world from the perspective of nonhuman agents. This lecture asks two questions: how does Zhuangzi render nonhuman agency in this Taoist classic? How do English translators render nonhuman agency in</w:t>
      </w:r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r w:rsidRPr="00C94E40">
        <w:rPr>
          <w:rStyle w:val="s6"/>
          <w:rFonts w:asciiTheme="minorHAnsi" w:hAnsiTheme="minorHAnsi" w:cstheme="minorHAnsi"/>
          <w:i/>
          <w:iCs/>
          <w:sz w:val="22"/>
          <w:szCs w:val="22"/>
        </w:rPr>
        <w:t>The Zhuangzi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>?</w:t>
      </w:r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</w:p>
    <w:p w14:paraId="0603283F" w14:textId="77777777" w:rsidR="00C94E40" w:rsidRPr="00C94E40" w:rsidRDefault="00C94E40" w:rsidP="00C94E40">
      <w:pPr>
        <w:pStyle w:val="s7"/>
        <w:spacing w:before="0" w:beforeAutospacing="0" w:after="0" w:afterAutospacing="0" w:line="216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C94E40">
        <w:rPr>
          <w:rStyle w:val="s5"/>
          <w:rFonts w:asciiTheme="minorHAnsi" w:hAnsiTheme="minorHAnsi" w:cstheme="minorHAnsi"/>
          <w:sz w:val="22"/>
          <w:szCs w:val="22"/>
        </w:rPr>
        <w:t>From the perspective of</w:t>
      </w:r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proofErr w:type="spellStart"/>
      <w:r w:rsidRPr="00C94E40">
        <w:rPr>
          <w:rStyle w:val="s5"/>
          <w:rFonts w:asciiTheme="minorHAnsi" w:hAnsiTheme="minorHAnsi" w:cstheme="minorHAnsi"/>
          <w:sz w:val="22"/>
          <w:szCs w:val="22"/>
        </w:rPr>
        <w:t>intersemiotic</w:t>
      </w:r>
      <w:proofErr w:type="spellEnd"/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>translation, Zhuangzi</w:t>
      </w:r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>proposes four interconnected approaches to facilitate species communication: anthropocentric relinquishment, nonhuman agents, equality of things, and cross-species becoming.</w:t>
      </w:r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>Zhuangzi’s</w:t>
      </w:r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>nonhuman perspective</w:t>
      </w:r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>creates an aura of Taoist mystery in his writing. From the perspective of</w:t>
      </w:r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proofErr w:type="spellStart"/>
      <w:r w:rsidRPr="00C94E40">
        <w:rPr>
          <w:rStyle w:val="s5"/>
          <w:rFonts w:asciiTheme="minorHAnsi" w:hAnsiTheme="minorHAnsi" w:cstheme="minorHAnsi"/>
          <w:sz w:val="22"/>
          <w:szCs w:val="22"/>
        </w:rPr>
        <w:t>interlingualtranslation</w:t>
      </w:r>
      <w:proofErr w:type="spellEnd"/>
      <w:r w:rsidRPr="00C94E40">
        <w:rPr>
          <w:rStyle w:val="s5"/>
          <w:rFonts w:asciiTheme="minorHAnsi" w:hAnsiTheme="minorHAnsi" w:cstheme="minorHAnsi"/>
          <w:sz w:val="22"/>
          <w:szCs w:val="22"/>
        </w:rPr>
        <w:t>, translators have intervened in this process with different strategies. Burton Watson’s anthropocentric translation demystifies nonhuman agents and popularizes the Chinese classic among English speakers. The “translation</w:t>
      </w:r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proofErr w:type="spellStart"/>
      <w:r w:rsidRPr="00C94E40">
        <w:rPr>
          <w:rStyle w:val="s5"/>
          <w:rFonts w:asciiTheme="minorHAnsi" w:hAnsiTheme="minorHAnsi" w:cstheme="minorHAnsi"/>
          <w:sz w:val="22"/>
          <w:szCs w:val="22"/>
        </w:rPr>
        <w:t>disparation</w:t>
      </w:r>
      <w:proofErr w:type="spellEnd"/>
      <w:r w:rsidRPr="00C94E40">
        <w:rPr>
          <w:rStyle w:val="s5"/>
          <w:rFonts w:asciiTheme="minorHAnsi" w:hAnsiTheme="minorHAnsi" w:cstheme="minorHAnsi"/>
          <w:sz w:val="22"/>
          <w:szCs w:val="22"/>
        </w:rPr>
        <w:t>”</w:t>
      </w:r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>(Michael Cronin)</w:t>
      </w:r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>of (de)mystifying nonhuman agency generates creative responses from translators. A.C. Graham acknowledges the mysterious quality but aligns it with literary sections, so his</w:t>
      </w:r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proofErr w:type="spellStart"/>
      <w:r w:rsidRPr="00C94E40">
        <w:rPr>
          <w:rStyle w:val="s5"/>
          <w:rFonts w:asciiTheme="minorHAnsi" w:hAnsiTheme="minorHAnsi" w:cstheme="minorHAnsi"/>
          <w:sz w:val="22"/>
          <w:szCs w:val="22"/>
        </w:rPr>
        <w:t>paratext</w:t>
      </w:r>
      <w:proofErr w:type="spellEnd"/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>of thematic reorganization is a reinforced version of anthropocentrism. In contrast, Victor H.</w:t>
      </w:r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>Mair</w:t>
      </w:r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>presents a more accurate Taoist account of species relationships and recreates the mysterious aura in his translation.</w:t>
      </w:r>
    </w:p>
    <w:p w14:paraId="292B0060" w14:textId="77777777" w:rsidR="00C94E40" w:rsidRDefault="00C94E40" w:rsidP="00C94E40">
      <w:pPr>
        <w:pStyle w:val="s7"/>
        <w:spacing w:before="0" w:beforeAutospacing="0" w:after="0" w:afterAutospacing="0" w:line="216" w:lineRule="atLeast"/>
        <w:jc w:val="both"/>
        <w:rPr>
          <w:rStyle w:val="s2"/>
          <w:rFonts w:asciiTheme="minorHAnsi" w:hAnsiTheme="minorHAnsi" w:cstheme="minorHAnsi"/>
          <w:b/>
          <w:bCs/>
          <w:sz w:val="22"/>
          <w:szCs w:val="22"/>
        </w:rPr>
      </w:pPr>
    </w:p>
    <w:p w14:paraId="2304207D" w14:textId="412E52CB" w:rsidR="00C94E40" w:rsidRPr="00C94E40" w:rsidRDefault="00C94E40" w:rsidP="00C94E40">
      <w:pPr>
        <w:pStyle w:val="s7"/>
        <w:spacing w:before="0" w:beforeAutospacing="0" w:after="0" w:afterAutospacing="0" w:line="216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C94E40">
        <w:rPr>
          <w:rStyle w:val="s5"/>
          <w:rFonts w:asciiTheme="minorHAnsi" w:hAnsiTheme="minorHAnsi" w:cstheme="minorHAnsi"/>
          <w:b/>
          <w:bCs/>
          <w:sz w:val="22"/>
          <w:szCs w:val="22"/>
        </w:rPr>
        <w:t>Quan</w:t>
      </w:r>
      <w:r w:rsidRPr="00C94E40">
        <w:rPr>
          <w:rStyle w:val="apple-converted-space"/>
          <w:rFonts w:asciiTheme="minorHAnsi" w:hAnsiTheme="minorHAnsi" w:cstheme="minorHAnsi"/>
          <w:b/>
          <w:bCs/>
          <w:sz w:val="22"/>
          <w:szCs w:val="22"/>
        </w:rPr>
        <w:t> </w:t>
      </w:r>
      <w:r w:rsidRPr="00C94E40">
        <w:rPr>
          <w:rStyle w:val="s5"/>
          <w:rFonts w:asciiTheme="minorHAnsi" w:hAnsiTheme="minorHAnsi" w:cstheme="minorHAnsi"/>
          <w:b/>
          <w:bCs/>
          <w:sz w:val="22"/>
          <w:szCs w:val="22"/>
        </w:rPr>
        <w:t>Wang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 xml:space="preserve"> is a professor of English and Comparative Literature at</w:t>
      </w:r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proofErr w:type="spellStart"/>
      <w:r w:rsidRPr="00C94E40">
        <w:rPr>
          <w:rStyle w:val="s5"/>
          <w:rFonts w:asciiTheme="minorHAnsi" w:hAnsiTheme="minorHAnsi" w:cstheme="minorHAnsi"/>
          <w:sz w:val="22"/>
          <w:szCs w:val="22"/>
        </w:rPr>
        <w:t>Beihang</w:t>
      </w:r>
      <w:proofErr w:type="spellEnd"/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>University. His recent publications include “A</w:t>
      </w:r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proofErr w:type="spellStart"/>
      <w:r w:rsidRPr="00C94E40">
        <w:rPr>
          <w:rStyle w:val="s5"/>
          <w:rFonts w:asciiTheme="minorHAnsi" w:hAnsiTheme="minorHAnsi" w:cstheme="minorHAnsi"/>
          <w:sz w:val="22"/>
          <w:szCs w:val="22"/>
        </w:rPr>
        <w:t>Posthumanist</w:t>
      </w:r>
      <w:proofErr w:type="spellEnd"/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>Reading of the ‘Happy’ Fish in</w:t>
      </w:r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r w:rsidRPr="00C94E40">
        <w:rPr>
          <w:rStyle w:val="s6"/>
          <w:rFonts w:asciiTheme="minorHAnsi" w:hAnsiTheme="minorHAnsi" w:cstheme="minorHAnsi"/>
          <w:i/>
          <w:iCs/>
          <w:sz w:val="22"/>
          <w:szCs w:val="22"/>
        </w:rPr>
        <w:t>The Zhuangzi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>’” (</w:t>
      </w:r>
      <w:r w:rsidRPr="00C94E40">
        <w:rPr>
          <w:rStyle w:val="s6"/>
          <w:rFonts w:asciiTheme="minorHAnsi" w:hAnsiTheme="minorHAnsi" w:cstheme="minorHAnsi"/>
          <w:i/>
          <w:iCs/>
          <w:sz w:val="22"/>
          <w:szCs w:val="22"/>
        </w:rPr>
        <w:t>Asian Philosophy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>), “Narrative Disruption” (</w:t>
      </w:r>
      <w:r w:rsidRPr="00C94E40">
        <w:rPr>
          <w:rStyle w:val="s6"/>
          <w:rFonts w:asciiTheme="minorHAnsi" w:hAnsiTheme="minorHAnsi" w:cstheme="minorHAnsi"/>
          <w:i/>
          <w:iCs/>
          <w:sz w:val="22"/>
          <w:szCs w:val="22"/>
        </w:rPr>
        <w:t>Journal of Literary Studies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>), “A Comparative Study of the Subject in</w:t>
      </w:r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>Lacan</w:t>
      </w:r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>and Zhuangzi” (</w:t>
      </w:r>
      <w:r w:rsidRPr="00C94E40">
        <w:rPr>
          <w:rStyle w:val="s6"/>
          <w:rFonts w:asciiTheme="minorHAnsi" w:hAnsiTheme="minorHAnsi" w:cstheme="minorHAnsi"/>
          <w:i/>
          <w:iCs/>
          <w:sz w:val="22"/>
          <w:szCs w:val="22"/>
        </w:rPr>
        <w:t>Asian Philosophy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>). He specializes in critical theories,</w:t>
      </w:r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>American novels, Chinese culture, especially</w:t>
      </w:r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>Zhuangzi and</w:t>
      </w:r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>posthumanism. He</w:t>
      </w:r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proofErr w:type="spellStart"/>
      <w:r w:rsidRPr="00C94E40">
        <w:rPr>
          <w:rStyle w:val="s5"/>
          <w:rFonts w:asciiTheme="minorHAnsi" w:hAnsiTheme="minorHAnsi" w:cstheme="minorHAnsi"/>
          <w:sz w:val="22"/>
          <w:szCs w:val="22"/>
        </w:rPr>
        <w:t>wasa</w:t>
      </w:r>
      <w:proofErr w:type="spellEnd"/>
      <w:r w:rsidRPr="00C94E40">
        <w:rPr>
          <w:rStyle w:val="s5"/>
          <w:rFonts w:asciiTheme="minorHAnsi" w:hAnsiTheme="minorHAnsi" w:cstheme="minorHAnsi"/>
          <w:sz w:val="22"/>
          <w:szCs w:val="22"/>
        </w:rPr>
        <w:t xml:space="preserve"> 2015-2016</w:t>
      </w:r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>Fulbright Research Scholar at Yale University.</w:t>
      </w:r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>Currently,</w:t>
      </w:r>
      <w:bookmarkStart w:id="0" w:name="_GoBack"/>
      <w:bookmarkEnd w:id="0"/>
      <w:r w:rsidRPr="00C94E40">
        <w:rPr>
          <w:rStyle w:val="apple-converted-space"/>
          <w:rFonts w:asciiTheme="minorHAnsi" w:hAnsiTheme="minorHAnsi" w:cstheme="minorHAnsi"/>
          <w:sz w:val="22"/>
          <w:szCs w:val="22"/>
        </w:rPr>
        <w:t> </w:t>
      </w:r>
      <w:r w:rsidRPr="00C94E40">
        <w:rPr>
          <w:rStyle w:val="s5"/>
          <w:rFonts w:asciiTheme="minorHAnsi" w:hAnsiTheme="minorHAnsi" w:cstheme="minorHAnsi"/>
          <w:sz w:val="22"/>
          <w:szCs w:val="22"/>
        </w:rPr>
        <w:t>he is a visiting scholar at University of Cambridge.</w:t>
      </w:r>
    </w:p>
    <w:p w14:paraId="144F0A70" w14:textId="3220A443" w:rsidR="00F5005E" w:rsidRPr="00C94E40" w:rsidRDefault="00F5005E" w:rsidP="00366CF5">
      <w:pPr>
        <w:rPr>
          <w:rFonts w:cstheme="minorHAnsi"/>
          <w:sz w:val="22"/>
          <w:lang w:val="en"/>
        </w:rPr>
      </w:pPr>
    </w:p>
    <w:sectPr w:rsidR="00F5005E" w:rsidRPr="00C94E40" w:rsidSect="00F5005E">
      <w:pgSz w:w="11906" w:h="16838"/>
      <w:pgMar w:top="1440" w:right="1800" w:bottom="849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1DD971" w14:textId="77777777" w:rsidR="00F20CF0" w:rsidRDefault="00F20CF0" w:rsidP="00144144">
      <w:r>
        <w:separator/>
      </w:r>
    </w:p>
  </w:endnote>
  <w:endnote w:type="continuationSeparator" w:id="0">
    <w:p w14:paraId="26A5D8E7" w14:textId="77777777" w:rsidR="00F20CF0" w:rsidRDefault="00F20CF0" w:rsidP="001441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NewRomanPSMT">
    <w:altName w:val="Arial Unicode MS"/>
    <w:panose1 w:val="020B0604020202020204"/>
    <w:charset w:val="00"/>
    <w:family w:val="roman"/>
    <w:notTrueType/>
    <w:pitch w:val="default"/>
    <w:sig w:usb0="00000000" w:usb1="080E0000" w:usb2="00000010" w:usb3="00000000" w:csb0="0004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ato">
    <w:panose1 w:val="020F0502020204030203"/>
    <w:charset w:val="00"/>
    <w:family w:val="swiss"/>
    <w:pitch w:val="variable"/>
    <w:sig w:usb0="E10002FF" w:usb1="5000EC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45666B" w14:textId="77777777" w:rsidR="00F20CF0" w:rsidRDefault="00F20CF0" w:rsidP="00144144">
      <w:r>
        <w:separator/>
      </w:r>
    </w:p>
  </w:footnote>
  <w:footnote w:type="continuationSeparator" w:id="0">
    <w:p w14:paraId="46E69FD8" w14:textId="77777777" w:rsidR="00F20CF0" w:rsidRDefault="00F20CF0" w:rsidP="001441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F16EAB"/>
    <w:multiLevelType w:val="hybridMultilevel"/>
    <w:tmpl w:val="ACF25118"/>
    <w:lvl w:ilvl="0" w:tplc="780A8F4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SimSun" w:hAnsi="SimSun" w:hint="default"/>
      </w:rPr>
    </w:lvl>
    <w:lvl w:ilvl="1" w:tplc="294A5B3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SimSun" w:hAnsi="SimSun" w:hint="default"/>
      </w:rPr>
    </w:lvl>
    <w:lvl w:ilvl="2" w:tplc="D58C1CB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SimSun" w:hAnsi="SimSun" w:hint="default"/>
      </w:rPr>
    </w:lvl>
    <w:lvl w:ilvl="3" w:tplc="B83678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SimSun" w:hAnsi="SimSun" w:hint="default"/>
      </w:rPr>
    </w:lvl>
    <w:lvl w:ilvl="4" w:tplc="AFBA25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SimSun" w:hAnsi="SimSun" w:hint="default"/>
      </w:rPr>
    </w:lvl>
    <w:lvl w:ilvl="5" w:tplc="CA98B6D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SimSun" w:hAnsi="SimSun" w:hint="default"/>
      </w:rPr>
    </w:lvl>
    <w:lvl w:ilvl="6" w:tplc="6DACF1E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SimSun" w:hAnsi="SimSun" w:hint="default"/>
      </w:rPr>
    </w:lvl>
    <w:lvl w:ilvl="7" w:tplc="81921CF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SimSun" w:hAnsi="SimSun" w:hint="default"/>
      </w:rPr>
    </w:lvl>
    <w:lvl w:ilvl="8" w:tplc="E61ECCE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SimSun" w:hAnsi="SimSun" w:hint="default"/>
      </w:rPr>
    </w:lvl>
  </w:abstractNum>
  <w:abstractNum w:abstractNumId="1" w15:restartNumberingAfterBreak="0">
    <w:nsid w:val="6CB77408"/>
    <w:multiLevelType w:val="hybridMultilevel"/>
    <w:tmpl w:val="2A6CB640"/>
    <w:lvl w:ilvl="0" w:tplc="451839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SimSun" w:hAnsi="SimSun" w:hint="default"/>
      </w:rPr>
    </w:lvl>
    <w:lvl w:ilvl="1" w:tplc="29E2364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SimSun" w:hAnsi="SimSun" w:hint="default"/>
      </w:rPr>
    </w:lvl>
    <w:lvl w:ilvl="2" w:tplc="42647F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SimSun" w:hAnsi="SimSun" w:hint="default"/>
      </w:rPr>
    </w:lvl>
    <w:lvl w:ilvl="3" w:tplc="636CBC4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SimSun" w:hAnsi="SimSun" w:hint="default"/>
      </w:rPr>
    </w:lvl>
    <w:lvl w:ilvl="4" w:tplc="E89676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SimSun" w:hAnsi="SimSun" w:hint="default"/>
      </w:rPr>
    </w:lvl>
    <w:lvl w:ilvl="5" w:tplc="5C3CD7C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SimSun" w:hAnsi="SimSun" w:hint="default"/>
      </w:rPr>
    </w:lvl>
    <w:lvl w:ilvl="6" w:tplc="0F6605C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SimSun" w:hAnsi="SimSun" w:hint="default"/>
      </w:rPr>
    </w:lvl>
    <w:lvl w:ilvl="7" w:tplc="279E223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SimSun" w:hAnsi="SimSun" w:hint="default"/>
      </w:rPr>
    </w:lvl>
    <w:lvl w:ilvl="8" w:tplc="5C22F0C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SimSun" w:hAnsi="SimSun" w:hint="default"/>
      </w:rPr>
    </w:lvl>
  </w:abstractNum>
  <w:num w:numId="1" w16cid:durableId="1746996087">
    <w:abstractNumId w:val="0"/>
  </w:num>
  <w:num w:numId="2" w16cid:durableId="4055407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A1F"/>
    <w:rsid w:val="000B1303"/>
    <w:rsid w:val="000B655C"/>
    <w:rsid w:val="0010249A"/>
    <w:rsid w:val="00144144"/>
    <w:rsid w:val="00252CCE"/>
    <w:rsid w:val="002D476F"/>
    <w:rsid w:val="002E4CB5"/>
    <w:rsid w:val="00305A8A"/>
    <w:rsid w:val="00307A1F"/>
    <w:rsid w:val="00366CF5"/>
    <w:rsid w:val="003D1873"/>
    <w:rsid w:val="0041167E"/>
    <w:rsid w:val="00421FA9"/>
    <w:rsid w:val="004B7A8C"/>
    <w:rsid w:val="004D0A7A"/>
    <w:rsid w:val="005B665F"/>
    <w:rsid w:val="005C0A54"/>
    <w:rsid w:val="005D0A66"/>
    <w:rsid w:val="00647CAF"/>
    <w:rsid w:val="006D4E9E"/>
    <w:rsid w:val="006F1FB4"/>
    <w:rsid w:val="00745E01"/>
    <w:rsid w:val="007A5B13"/>
    <w:rsid w:val="007C701B"/>
    <w:rsid w:val="007F3F6F"/>
    <w:rsid w:val="00814BAB"/>
    <w:rsid w:val="00864D06"/>
    <w:rsid w:val="009E55FB"/>
    <w:rsid w:val="00A227AB"/>
    <w:rsid w:val="00AC587A"/>
    <w:rsid w:val="00B0321C"/>
    <w:rsid w:val="00B46498"/>
    <w:rsid w:val="00B977BA"/>
    <w:rsid w:val="00C94E40"/>
    <w:rsid w:val="00CA4596"/>
    <w:rsid w:val="00D34E2F"/>
    <w:rsid w:val="00D4627E"/>
    <w:rsid w:val="00D5420D"/>
    <w:rsid w:val="00DF0F8A"/>
    <w:rsid w:val="00EA75D2"/>
    <w:rsid w:val="00EE4BCE"/>
    <w:rsid w:val="00F20CF0"/>
    <w:rsid w:val="00F33A5B"/>
    <w:rsid w:val="00F4099D"/>
    <w:rsid w:val="00F5005E"/>
    <w:rsid w:val="00F74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1779F31"/>
  <w15:docId w15:val="{561142D9-92F6-F24A-A813-863618819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0A54"/>
    <w:pPr>
      <w:widowControl w:val="0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441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44144"/>
    <w:rPr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1441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144144"/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144144"/>
    <w:pPr>
      <w:widowControl/>
      <w:ind w:firstLineChars="200" w:firstLine="420"/>
      <w:jc w:val="left"/>
    </w:pPr>
    <w:rPr>
      <w:rFonts w:ascii="SimSun" w:eastAsia="SimSun" w:hAnsi="SimSun" w:cs="SimSun"/>
      <w:kern w:val="0"/>
      <w:sz w:val="24"/>
      <w:szCs w:val="24"/>
    </w:rPr>
  </w:style>
  <w:style w:type="paragraph" w:styleId="NormalWeb">
    <w:name w:val="Normal (Web)"/>
    <w:basedOn w:val="Normal"/>
    <w:semiHidden/>
    <w:unhideWhenUsed/>
    <w:rsid w:val="00745E01"/>
    <w:pPr>
      <w:widowControl/>
      <w:spacing w:before="100" w:beforeAutospacing="1" w:after="100" w:afterAutospacing="1"/>
      <w:jc w:val="left"/>
    </w:pPr>
    <w:rPr>
      <w:rFonts w:ascii="Times New Roman" w:eastAsia="SimSun" w:hAnsi="Times New Roman" w:cs="Times New Roman"/>
      <w:kern w:val="0"/>
      <w:sz w:val="24"/>
      <w:szCs w:val="24"/>
    </w:rPr>
  </w:style>
  <w:style w:type="paragraph" w:styleId="FootnoteText">
    <w:name w:val="footnote text"/>
    <w:basedOn w:val="Normal"/>
    <w:link w:val="FootnoteTextChar"/>
    <w:semiHidden/>
    <w:unhideWhenUsed/>
    <w:rsid w:val="00745E01"/>
    <w:pPr>
      <w:snapToGrid w:val="0"/>
      <w:jc w:val="left"/>
    </w:pPr>
    <w:rPr>
      <w:rFonts w:ascii="Times New Roman" w:eastAsia="SimSun" w:hAnsi="Times New Roman" w:cs="Times New Roman"/>
      <w:sz w:val="18"/>
      <w:szCs w:val="18"/>
    </w:rPr>
  </w:style>
  <w:style w:type="character" w:customStyle="1" w:styleId="FootnoteTextChar">
    <w:name w:val="Footnote Text Char"/>
    <w:basedOn w:val="DefaultParagraphFont"/>
    <w:link w:val="FootnoteText"/>
    <w:semiHidden/>
    <w:rsid w:val="00745E01"/>
    <w:rPr>
      <w:rFonts w:ascii="Times New Roman" w:eastAsia="SimSun" w:hAnsi="Times New Roman" w:cs="Times New Roman"/>
      <w:sz w:val="18"/>
      <w:szCs w:val="18"/>
    </w:rPr>
  </w:style>
  <w:style w:type="character" w:styleId="FootnoteReference">
    <w:name w:val="footnote reference"/>
    <w:basedOn w:val="DefaultParagraphFont"/>
    <w:semiHidden/>
    <w:unhideWhenUsed/>
    <w:rsid w:val="00745E01"/>
    <w:rPr>
      <w:vertAlign w:val="superscript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F33A5B"/>
    <w:rPr>
      <w:rFonts w:ascii="SimSun" w:eastAsia="SimSun"/>
      <w:sz w:val="18"/>
      <w:szCs w:val="18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F33A5B"/>
    <w:rPr>
      <w:rFonts w:ascii="SimSun" w:eastAsia="SimSun"/>
      <w:sz w:val="18"/>
      <w:szCs w:val="18"/>
    </w:rPr>
  </w:style>
  <w:style w:type="paragraph" w:customStyle="1" w:styleId="s7">
    <w:name w:val="s7"/>
    <w:basedOn w:val="Normal"/>
    <w:rsid w:val="00C94E40"/>
    <w:pPr>
      <w:widowControl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kern w:val="0"/>
      <w:sz w:val="24"/>
      <w:szCs w:val="24"/>
      <w:lang w:val="en-GB" w:eastAsia="en-GB"/>
    </w:rPr>
  </w:style>
  <w:style w:type="character" w:customStyle="1" w:styleId="s5">
    <w:name w:val="s5"/>
    <w:basedOn w:val="DefaultParagraphFont"/>
    <w:rsid w:val="00C94E40"/>
  </w:style>
  <w:style w:type="character" w:customStyle="1" w:styleId="apple-converted-space">
    <w:name w:val="apple-converted-space"/>
    <w:basedOn w:val="DefaultParagraphFont"/>
    <w:rsid w:val="00C94E40"/>
  </w:style>
  <w:style w:type="character" w:customStyle="1" w:styleId="s6">
    <w:name w:val="s6"/>
    <w:basedOn w:val="DefaultParagraphFont"/>
    <w:rsid w:val="00C94E40"/>
  </w:style>
  <w:style w:type="character" w:customStyle="1" w:styleId="s2">
    <w:name w:val="s2"/>
    <w:basedOn w:val="DefaultParagraphFont"/>
    <w:rsid w:val="00C94E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30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9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4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2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1654425">
          <w:marLeft w:val="547"/>
          <w:marRight w:val="0"/>
          <w:marTop w:val="1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656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34946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313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University of Hong Kong</Company>
  <LinksUpToDate>false</LinksUpToDate>
  <CharactersWithSpaces>2094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wangn</dc:creator>
  <cp:lastModifiedBy>Orrego-Carmona, David</cp:lastModifiedBy>
  <cp:revision>18</cp:revision>
  <dcterms:created xsi:type="dcterms:W3CDTF">2022-10-27T08:33:00Z</dcterms:created>
  <dcterms:modified xsi:type="dcterms:W3CDTF">2023-11-10T20:14:00Z</dcterms:modified>
</cp:coreProperties>
</file>