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B45ABB" w:rsidRDefault="00B45ABB" w:rsidP="00B45ABB">
      <w:pPr>
        <w:shd w:val="clear" w:color="auto" w:fill="FFFFFF"/>
        <w:jc w:val="center"/>
        <w:textAlignment w:val="baseline"/>
        <w:rPr>
          <w:rFonts w:eastAsia="DengXian" w:cstheme="minorHAnsi"/>
          <w:b/>
          <w:bCs/>
          <w:color w:val="201F1E"/>
          <w:sz w:val="32"/>
          <w:szCs w:val="32"/>
          <w:bdr w:val="none" w:sz="0" w:space="0" w:color="auto" w:frame="1"/>
          <w:lang w:eastAsia="en-GB"/>
        </w:rPr>
      </w:pPr>
      <w:r w:rsidRPr="00DC3E88">
        <w:rPr>
          <w:rFonts w:eastAsia="DengXian" w:cstheme="minorHAnsi"/>
          <w:b/>
          <w:bCs/>
          <w:color w:val="201F1E"/>
          <w:sz w:val="32"/>
          <w:szCs w:val="32"/>
          <w:bdr w:val="none" w:sz="0" w:space="0" w:color="auto" w:frame="1"/>
          <w:lang w:eastAsia="en-GB"/>
        </w:rPr>
        <w:t xml:space="preserve">University of Warwick </w:t>
      </w:r>
    </w:p>
    <w:p w:rsidR="00B45ABB" w:rsidRDefault="00B45ABB" w:rsidP="00B45ABB">
      <w:pPr>
        <w:shd w:val="clear" w:color="auto" w:fill="FFFFFF"/>
        <w:jc w:val="center"/>
        <w:textAlignment w:val="baseline"/>
        <w:rPr>
          <w:rFonts w:eastAsia="DengXian" w:cstheme="minorHAnsi"/>
          <w:b/>
          <w:bCs/>
          <w:color w:val="201F1E"/>
          <w:sz w:val="32"/>
          <w:szCs w:val="32"/>
          <w:bdr w:val="none" w:sz="0" w:space="0" w:color="auto" w:frame="1"/>
          <w:lang w:eastAsia="en-GB"/>
        </w:rPr>
      </w:pPr>
      <w:r w:rsidRPr="00DC3E88">
        <w:rPr>
          <w:rFonts w:eastAsia="DengXian" w:cstheme="minorHAnsi"/>
          <w:b/>
          <w:bCs/>
          <w:color w:val="201F1E"/>
          <w:sz w:val="32"/>
          <w:szCs w:val="32"/>
          <w:bdr w:val="none" w:sz="0" w:space="0" w:color="auto" w:frame="1"/>
          <w:lang w:eastAsia="en-GB"/>
        </w:rPr>
        <w:t>Translation and Transcultural Studies Research Seminars</w:t>
      </w:r>
    </w:p>
    <w:p w:rsidR="00B45ABB" w:rsidRPr="00EA75D2" w:rsidRDefault="00B45ABB" w:rsidP="00B45ABB">
      <w:pPr>
        <w:shd w:val="clear" w:color="auto" w:fill="FFFFFF"/>
        <w:jc w:val="center"/>
        <w:textAlignment w:val="baseline"/>
        <w:rPr>
          <w:rFonts w:eastAsia="DengXian" w:cstheme="minorHAnsi"/>
          <w:b/>
          <w:bCs/>
          <w:color w:val="201F1E"/>
          <w:sz w:val="32"/>
          <w:szCs w:val="32"/>
          <w:bdr w:val="none" w:sz="0" w:space="0" w:color="auto" w:frame="1"/>
          <w:lang w:eastAsia="en-GB"/>
        </w:rPr>
      </w:pPr>
      <w:r>
        <w:rPr>
          <w:rFonts w:eastAsia="DengXian" w:cstheme="minorHAnsi"/>
          <w:b/>
          <w:bCs/>
          <w:color w:val="201F1E"/>
          <w:sz w:val="32"/>
          <w:szCs w:val="32"/>
          <w:bdr w:val="none" w:sz="0" w:space="0" w:color="auto" w:frame="1"/>
          <w:lang w:eastAsia="en-GB"/>
        </w:rPr>
        <w:t>202</w:t>
      </w:r>
      <w:r>
        <w:rPr>
          <w:rFonts w:eastAsia="DengXian" w:cstheme="minorHAnsi"/>
          <w:b/>
          <w:bCs/>
          <w:color w:val="201F1E"/>
          <w:sz w:val="32"/>
          <w:szCs w:val="32"/>
          <w:bdr w:val="none" w:sz="0" w:space="0" w:color="auto" w:frame="1"/>
          <w:lang w:eastAsia="en-GB"/>
        </w:rPr>
        <w:t>4</w:t>
      </w:r>
      <w:r>
        <w:rPr>
          <w:rFonts w:eastAsia="DengXian" w:cstheme="minorHAnsi"/>
          <w:b/>
          <w:bCs/>
          <w:color w:val="201F1E"/>
          <w:sz w:val="32"/>
          <w:szCs w:val="32"/>
          <w:bdr w:val="none" w:sz="0" w:space="0" w:color="auto" w:frame="1"/>
          <w:lang w:eastAsia="en-GB"/>
        </w:rPr>
        <w:t>-202</w:t>
      </w:r>
      <w:r>
        <w:rPr>
          <w:rFonts w:eastAsia="DengXian" w:cstheme="minorHAnsi"/>
          <w:b/>
          <w:bCs/>
          <w:color w:val="201F1E"/>
          <w:sz w:val="32"/>
          <w:szCs w:val="32"/>
          <w:bdr w:val="none" w:sz="0" w:space="0" w:color="auto" w:frame="1"/>
          <w:lang w:eastAsia="en-GB"/>
        </w:rPr>
        <w:t>5</w:t>
      </w:r>
    </w:p>
    <w:p w:rsidR="00B45ABB" w:rsidRDefault="00B45ABB" w:rsidP="00B45ABB">
      <w:pPr>
        <w:shd w:val="clear" w:color="auto" w:fill="FFFFFF"/>
        <w:jc w:val="center"/>
        <w:textAlignment w:val="baseline"/>
        <w:rPr>
          <w:rFonts w:eastAsia="DengXian" w:cstheme="minorHAnsi"/>
          <w:b/>
          <w:bCs/>
          <w:color w:val="201F1E"/>
          <w:bdr w:val="none" w:sz="0" w:space="0" w:color="auto" w:frame="1"/>
          <w:lang w:eastAsia="en-GB"/>
        </w:rPr>
      </w:pPr>
    </w:p>
    <w:p w:rsidR="00B45ABB" w:rsidRDefault="00B45ABB" w:rsidP="00B45ABB">
      <w:pPr>
        <w:shd w:val="clear" w:color="auto" w:fill="FFFFFF"/>
        <w:jc w:val="center"/>
        <w:textAlignment w:val="baseline"/>
        <w:rPr>
          <w:rFonts w:eastAsia="DengXian" w:cstheme="minorHAnsi"/>
          <w:bCs/>
          <w:i/>
          <w:color w:val="201F1E"/>
          <w:bdr w:val="none" w:sz="0" w:space="0" w:color="auto" w:frame="1"/>
          <w:lang w:eastAsia="en-GB"/>
        </w:rPr>
      </w:pPr>
      <w:r>
        <w:rPr>
          <w:rFonts w:eastAsia="DengXian" w:cstheme="minorHAnsi"/>
          <w:bCs/>
          <w:i/>
          <w:color w:val="201F1E"/>
          <w:bdr w:val="none" w:sz="0" w:space="0" w:color="auto" w:frame="1"/>
          <w:lang w:eastAsia="en-GB"/>
        </w:rPr>
        <w:t>22 January 2025</w:t>
      </w:r>
      <w:r w:rsidRPr="007C701B">
        <w:rPr>
          <w:rFonts w:eastAsia="DengXian" w:cstheme="minorHAnsi"/>
          <w:bCs/>
          <w:i/>
          <w:color w:val="201F1E"/>
          <w:bdr w:val="none" w:sz="0" w:space="0" w:color="auto" w:frame="1"/>
          <w:lang w:eastAsia="en-GB"/>
        </w:rPr>
        <w:t>,</w:t>
      </w:r>
      <w:r>
        <w:rPr>
          <w:rFonts w:eastAsia="DengXian" w:cstheme="minorHAnsi"/>
          <w:bCs/>
          <w:i/>
          <w:color w:val="201F1E"/>
          <w:bdr w:val="none" w:sz="0" w:space="0" w:color="auto" w:frame="1"/>
          <w:lang w:eastAsia="en-GB"/>
        </w:rPr>
        <w:t xml:space="preserve"> </w:t>
      </w:r>
      <w:r>
        <w:rPr>
          <w:rFonts w:eastAsia="DengXian" w:cstheme="minorHAnsi"/>
          <w:bCs/>
          <w:i/>
          <w:color w:val="201F1E"/>
          <w:bdr w:val="none" w:sz="0" w:space="0" w:color="auto" w:frame="1"/>
          <w:lang w:eastAsia="en-GB"/>
        </w:rPr>
        <w:t>3-4</w:t>
      </w:r>
      <w:r w:rsidRPr="007C701B">
        <w:rPr>
          <w:rFonts w:eastAsia="DengXian" w:cstheme="minorHAnsi"/>
          <w:bCs/>
          <w:i/>
          <w:color w:val="201F1E"/>
          <w:bdr w:val="none" w:sz="0" w:space="0" w:color="auto" w:frame="1"/>
          <w:lang w:eastAsia="en-GB"/>
        </w:rPr>
        <w:t xml:space="preserve"> pm </w:t>
      </w:r>
      <w:r>
        <w:rPr>
          <w:rFonts w:eastAsia="DengXian" w:cstheme="minorHAnsi"/>
          <w:bCs/>
          <w:i/>
          <w:color w:val="201F1E"/>
          <w:bdr w:val="none" w:sz="0" w:space="0" w:color="auto" w:frame="1"/>
          <w:lang w:eastAsia="en-GB"/>
        </w:rPr>
        <w:t>(UK time)</w:t>
      </w:r>
    </w:p>
    <w:p w:rsidR="00B45ABB" w:rsidRDefault="00B45ABB" w:rsidP="00B45ABB">
      <w:pPr>
        <w:shd w:val="clear" w:color="auto" w:fill="FFFFFF"/>
        <w:jc w:val="center"/>
        <w:textAlignment w:val="baseline"/>
        <w:rPr>
          <w:rFonts w:eastAsia="DengXian" w:cstheme="minorHAnsi"/>
          <w:bCs/>
          <w:i/>
          <w:color w:val="201F1E"/>
          <w:bdr w:val="none" w:sz="0" w:space="0" w:color="auto" w:frame="1"/>
          <w:lang w:eastAsia="en-GB"/>
        </w:rPr>
      </w:pPr>
      <w:r>
        <w:rPr>
          <w:rFonts w:eastAsia="DengXian" w:cstheme="minorHAnsi"/>
          <w:bCs/>
          <w:i/>
          <w:color w:val="201F1E"/>
          <w:bdr w:val="none" w:sz="0" w:space="0" w:color="auto" w:frame="1"/>
          <w:lang w:eastAsia="en-GB"/>
        </w:rPr>
        <w:t>Online via Teams</w:t>
      </w:r>
    </w:p>
    <w:p w:rsidR="00B45ABB" w:rsidRDefault="00B45ABB" w:rsidP="00B45ABB">
      <w:pPr>
        <w:jc w:val="center"/>
        <w:rPr>
          <w:b/>
        </w:rPr>
      </w:pPr>
    </w:p>
    <w:p w:rsidR="00B45ABB" w:rsidRDefault="00B45ABB" w:rsidP="00B45ABB">
      <w:pPr>
        <w:jc w:val="center"/>
        <w:rPr>
          <w:b/>
        </w:rPr>
      </w:pPr>
    </w:p>
    <w:p w:rsidR="00586D5E" w:rsidRPr="00B45ABB" w:rsidRDefault="00586D5E" w:rsidP="00B45ABB">
      <w:pPr>
        <w:jc w:val="center"/>
        <w:rPr>
          <w:b/>
        </w:rPr>
      </w:pPr>
      <w:r w:rsidRPr="00B45ABB">
        <w:rPr>
          <w:b/>
        </w:rPr>
        <w:t>“May the Best Translation Win”: Translation, Race, and the Myth of Meritocracy</w:t>
      </w:r>
    </w:p>
    <w:p w:rsidR="00B45ABB" w:rsidRPr="00B45ABB" w:rsidRDefault="00B45ABB" w:rsidP="00B45ABB">
      <w:pPr>
        <w:jc w:val="center"/>
        <w:rPr>
          <w:b/>
        </w:rPr>
      </w:pPr>
      <w:r>
        <w:t xml:space="preserve">Corine </w:t>
      </w:r>
      <w:proofErr w:type="spellStart"/>
      <w:r>
        <w:t>Tachtiris</w:t>
      </w:r>
      <w:proofErr w:type="spellEnd"/>
    </w:p>
    <w:p w:rsidR="00B45ABB" w:rsidRDefault="00B45ABB" w:rsidP="00B45ABB">
      <w:pPr>
        <w:jc w:val="both"/>
      </w:pPr>
    </w:p>
    <w:p w:rsidR="00BA2235" w:rsidRDefault="00337CA9" w:rsidP="00B45ABB">
      <w:pPr>
        <w:jc w:val="both"/>
      </w:pPr>
      <w:r>
        <w:t xml:space="preserve">With </w:t>
      </w:r>
      <w:r w:rsidR="00892E38">
        <w:t>the</w:t>
      </w:r>
      <w:r w:rsidR="00A067F6">
        <w:t xml:space="preserve"> </w:t>
      </w:r>
      <w:r w:rsidR="00892E38">
        <w:t>institutionalization of</w:t>
      </w:r>
      <w:r w:rsidR="00A067F6">
        <w:t xml:space="preserve"> </w:t>
      </w:r>
      <w:r w:rsidR="00B14F25">
        <w:t>values of</w:t>
      </w:r>
      <w:r w:rsidR="00A067F6">
        <w:t xml:space="preserve"> diversity, equity, and inclusion (DEI), translation institutions have also increasingly acknowledged the issue of racial inequity within </w:t>
      </w:r>
      <w:r w:rsidR="00B14F25">
        <w:t xml:space="preserve">translation as a profession. Efforts to address this inequity have largely focused on establishing equality of opportunity—removing barriers toward accessing opportunities like translation degrees or </w:t>
      </w:r>
      <w:r w:rsidR="00892E38">
        <w:t xml:space="preserve">job </w:t>
      </w:r>
      <w:r>
        <w:t xml:space="preserve">or publication </w:t>
      </w:r>
      <w:r w:rsidR="00B14F25">
        <w:t>prospects—and rooting out implicit bias, subconsciously held racial stereotypes. As long</w:t>
      </w:r>
      <w:r>
        <w:t xml:space="preserve"> as</w:t>
      </w:r>
      <w:r w:rsidR="00B14F25">
        <w:t xml:space="preserve"> the number of </w:t>
      </w:r>
      <w:r w:rsidR="00892E38">
        <w:t xml:space="preserve">translators is racially diverse and evaluation criteria </w:t>
      </w:r>
      <w:r w:rsidR="00CC18C7">
        <w:t xml:space="preserve">like rubrics </w:t>
      </w:r>
      <w:r w:rsidR="00892E38">
        <w:t>are established</w:t>
      </w:r>
      <w:r>
        <w:t xml:space="preserve"> </w:t>
      </w:r>
      <w:r w:rsidR="00892E38">
        <w:t xml:space="preserve">to counteract </w:t>
      </w:r>
      <w:r w:rsidR="00B0763A">
        <w:t>implicit</w:t>
      </w:r>
      <w:r w:rsidR="00892E38">
        <w:t xml:space="preserve"> bias, the logic goes, the “best” translations and translators will rise to the top in the many instances in which they are evaluated. In the world of literary translation, the latter include </w:t>
      </w:r>
      <w:r w:rsidR="00586D5E">
        <w:t xml:space="preserve">university assessments, </w:t>
      </w:r>
      <w:r w:rsidR="00892E38">
        <w:t>publication acceptances, reviews of published work</w:t>
      </w:r>
      <w:r>
        <w:t>, and translation prizes,</w:t>
      </w:r>
      <w:r w:rsidR="00892E38">
        <w:t xml:space="preserve"> as well as, a</w:t>
      </w:r>
      <w:r w:rsidR="00BA2235">
        <w:t>t the most fundamental level</w:t>
      </w:r>
      <w:r w:rsidR="00892E38">
        <w:t>,</w:t>
      </w:r>
      <w:r w:rsidR="00BA2235">
        <w:t xml:space="preserve"> readers </w:t>
      </w:r>
      <w:r w:rsidR="00892E38">
        <w:t xml:space="preserve">evaluating the translations they read </w:t>
      </w:r>
      <w:r w:rsidR="00BA2235">
        <w:t xml:space="preserve">and translators themselves </w:t>
      </w:r>
      <w:r w:rsidR="00892E38">
        <w:t xml:space="preserve">evaluating their own work </w:t>
      </w:r>
      <w:r w:rsidR="00BA2235">
        <w:t>as they make translation choices</w:t>
      </w:r>
      <w:r w:rsidR="00892E38">
        <w:t>.</w:t>
      </w:r>
    </w:p>
    <w:p w:rsidR="00A067F6" w:rsidRDefault="00DB652E" w:rsidP="00B45ABB">
      <w:pPr>
        <w:jc w:val="both"/>
      </w:pPr>
      <w:r>
        <w:t xml:space="preserve">While such approaches </w:t>
      </w:r>
      <w:r w:rsidR="00CC18C7">
        <w:t>can be</w:t>
      </w:r>
      <w:r>
        <w:t xml:space="preserve"> beneficial, they often fail to take into account the way that </w:t>
      </w:r>
      <w:r w:rsidR="00A80330">
        <w:t>racist logics also play a role in evaluation criteria</w:t>
      </w:r>
      <w:r w:rsidR="00CC18C7">
        <w:t xml:space="preserve"> for translations</w:t>
      </w:r>
      <w:r w:rsidR="00A80330">
        <w:t xml:space="preserve">. That is, it is not enough for people of color to have access to opportunities to do “good” </w:t>
      </w:r>
      <w:r w:rsidR="00CC18C7">
        <w:t xml:space="preserve">translation </w:t>
      </w:r>
      <w:r w:rsidR="00A80330">
        <w:t xml:space="preserve">work or for white people to confront their implicit biases about who they think is capable of doing “good” </w:t>
      </w:r>
      <w:r w:rsidR="00CC18C7">
        <w:t xml:space="preserve">translation </w:t>
      </w:r>
      <w:r w:rsidR="00A80330">
        <w:t xml:space="preserve">work; the very notion of what counts as “good” </w:t>
      </w:r>
      <w:r w:rsidR="00CC18C7">
        <w:t xml:space="preserve">translation </w:t>
      </w:r>
      <w:r w:rsidR="00A80330">
        <w:t xml:space="preserve">work is itself a racial project that both partially derives from and perpetuates white supremacy. This talk </w:t>
      </w:r>
      <w:r w:rsidR="009B0F33">
        <w:t xml:space="preserve">exposes </w:t>
      </w:r>
      <w:r w:rsidR="00CC18C7">
        <w:t xml:space="preserve">the myth of meritocracy in regard to racialized aspects of evaluating literary translations and offers </w:t>
      </w:r>
      <w:r w:rsidR="009B0F33">
        <w:t>critical approaches to c</w:t>
      </w:r>
      <w:r w:rsidR="00EC042D">
        <w:t>ounteract racial inequity and racism in the evaluation of literary translation work.</w:t>
      </w:r>
    </w:p>
    <w:p w:rsidR="00586D5E" w:rsidRDefault="00586D5E" w:rsidP="00B45ABB">
      <w:pPr>
        <w:jc w:val="both"/>
      </w:pPr>
    </w:p>
    <w:p w:rsidR="00586D5E" w:rsidRPr="00586D5E" w:rsidRDefault="00B45ABB" w:rsidP="00B45ABB">
      <w:pPr>
        <w:jc w:val="both"/>
      </w:pPr>
      <w:r>
        <w:t xml:space="preserve">Bio: </w:t>
      </w:r>
      <w:bookmarkStart w:id="0" w:name="_GoBack"/>
      <w:bookmarkEnd w:id="0"/>
      <w:r w:rsidR="00586D5E">
        <w:t xml:space="preserve">Corine </w:t>
      </w:r>
      <w:proofErr w:type="spellStart"/>
      <w:r w:rsidR="00586D5E">
        <w:t>Tachtiris</w:t>
      </w:r>
      <w:proofErr w:type="spellEnd"/>
      <w:r w:rsidR="00586D5E">
        <w:t xml:space="preserve"> is Assistant Professor of Translation Studies at the University of Massachusetts Amherst. Her research and teaching falls at the intersection of translation studies, critical race studies, gender and sexuality studies, and post/decolonial studies. Her monograph </w:t>
      </w:r>
      <w:r w:rsidR="00586D5E">
        <w:rPr>
          <w:i/>
        </w:rPr>
        <w:t>Translation and Race</w:t>
      </w:r>
      <w:r w:rsidR="00586D5E">
        <w:t xml:space="preserve"> was published by Routledge in 2024 and is available </w:t>
      </w:r>
      <w:hyperlink r:id="rId4" w:history="1">
        <w:r w:rsidR="00586D5E" w:rsidRPr="00586D5E">
          <w:rPr>
            <w:rStyle w:val="a3"/>
          </w:rPr>
          <w:t>open access</w:t>
        </w:r>
      </w:hyperlink>
      <w:r w:rsidR="00586D5E">
        <w:t xml:space="preserve">. </w:t>
      </w:r>
      <w:proofErr w:type="spellStart"/>
      <w:r w:rsidR="00586D5E">
        <w:t>Tachtiris</w:t>
      </w:r>
      <w:proofErr w:type="spellEnd"/>
      <w:r w:rsidR="00586D5E">
        <w:t xml:space="preserve"> is also a literary translator from French and Czech, primarily of contemporary women writers from </w:t>
      </w:r>
      <w:r w:rsidR="00586D5E">
        <w:lastRenderedPageBreak/>
        <w:t xml:space="preserve">Francophone Africa, Canada, and the Caribbean as well as from the Czech Republic. Her translation of Frieda </w:t>
      </w:r>
      <w:proofErr w:type="spellStart"/>
      <w:r w:rsidR="00586D5E">
        <w:t>Ekotto’s</w:t>
      </w:r>
      <w:proofErr w:type="spellEnd"/>
      <w:r w:rsidR="00586D5E">
        <w:t xml:space="preserve"> </w:t>
      </w:r>
      <w:r w:rsidR="00586D5E">
        <w:rPr>
          <w:i/>
        </w:rPr>
        <w:t xml:space="preserve">Don’t Whisper Too Much and Portrait of a Young Artiste from Bona </w:t>
      </w:r>
      <w:proofErr w:type="spellStart"/>
      <w:r w:rsidR="00586D5E">
        <w:rPr>
          <w:i/>
        </w:rPr>
        <w:t>Mbella</w:t>
      </w:r>
      <w:proofErr w:type="spellEnd"/>
      <w:r w:rsidR="00586D5E">
        <w:t xml:space="preserve"> was published by </w:t>
      </w:r>
      <w:proofErr w:type="spellStart"/>
      <w:r w:rsidR="00586D5E">
        <w:t>Bucknell</w:t>
      </w:r>
      <w:proofErr w:type="spellEnd"/>
      <w:r w:rsidR="00586D5E">
        <w:t xml:space="preserve"> University Press in 2019. She is Vice President of the American Literary Translators Association and Prose Translation Editor at </w:t>
      </w:r>
      <w:r w:rsidR="00586D5E">
        <w:rPr>
          <w:i/>
        </w:rPr>
        <w:t>The Massachusetts Review</w:t>
      </w:r>
      <w:r w:rsidR="00586D5E">
        <w:t>.</w:t>
      </w:r>
    </w:p>
    <w:sectPr w:rsidR="00586D5E" w:rsidRPr="00586D5E">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Calibri">
    <w:panose1 w:val="020F0502020204030204"/>
    <w:charset w:val="00"/>
    <w:family w:val="swiss"/>
    <w:pitch w:val="variable"/>
    <w:sig w:usb0="E4002EFF" w:usb1="C000247B" w:usb2="00000009" w:usb3="00000000" w:csb0="000001FF" w:csb1="00000000"/>
  </w:font>
  <w:font w:name="等线 Light">
    <w:panose1 w:val="02010600030101010101"/>
    <w:charset w:val="86"/>
    <w:family w:val="auto"/>
    <w:pitch w:val="variable"/>
    <w:sig w:usb0="A00002BF" w:usb1="38CF7CFA" w:usb2="00000016" w:usb3="00000000" w:csb0="0004000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34"/>
  <w:bordersDoNotSurroundHeader/>
  <w:bordersDoNotSurroundFooter/>
  <w:proofState w:spelling="clean" w:grammar="clean"/>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86D5E"/>
    <w:rsid w:val="00337CA9"/>
    <w:rsid w:val="004F4F46"/>
    <w:rsid w:val="00586D5E"/>
    <w:rsid w:val="00892E38"/>
    <w:rsid w:val="009B0F33"/>
    <w:rsid w:val="009E4E24"/>
    <w:rsid w:val="00A067F6"/>
    <w:rsid w:val="00A42424"/>
    <w:rsid w:val="00A80330"/>
    <w:rsid w:val="00B0763A"/>
    <w:rsid w:val="00B14F25"/>
    <w:rsid w:val="00B45ABB"/>
    <w:rsid w:val="00BA2235"/>
    <w:rsid w:val="00CC18C7"/>
    <w:rsid w:val="00DB652E"/>
    <w:rsid w:val="00DC57D2"/>
    <w:rsid w:val="00EC042D"/>
    <w:rsid w:val="00F815D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50EC26C"/>
  <w15:chartTrackingRefBased/>
  <w15:docId w15:val="{A76553AE-18A1-4545-A4FE-204B506F3B7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heme="minorEastAsia" w:hAnsi="Times New Roman" w:cs="Times New Roman"/>
        <w:sz w:val="24"/>
        <w:szCs w:val="24"/>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586D5E"/>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hyperlink" Target="https://www.taylorfrancis.com/books/oa-mono/10.4324/9781003180166/translation-race-corine-tachtiris"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747</TotalTime>
  <Pages>2</Pages>
  <Words>456</Words>
  <Characters>2601</Characters>
  <Application>Microsoft Office Word</Application>
  <DocSecurity>0</DocSecurity>
  <Lines>21</Lines>
  <Paragraphs>6</Paragraphs>
  <ScaleCrop>false</ScaleCrop>
  <HeadingPairs>
    <vt:vector size="2" baseType="variant">
      <vt:variant>
        <vt:lpstr>Title</vt:lpstr>
      </vt:variant>
      <vt:variant>
        <vt:i4>1</vt:i4>
      </vt:variant>
    </vt:vector>
  </HeadingPairs>
  <TitlesOfParts>
    <vt:vector size="1" baseType="lpstr">
      <vt:lpstr/>
    </vt:vector>
  </TitlesOfParts>
  <Company>UMass Amherst</Company>
  <LinksUpToDate>false</LinksUpToDate>
  <CharactersWithSpaces>3051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Corine Tachtiris</dc:creator>
  <cp:keywords/>
  <dc:description/>
  <cp:lastModifiedBy>Lu, Sijing</cp:lastModifiedBy>
  <cp:revision>6</cp:revision>
  <dcterms:created xsi:type="dcterms:W3CDTF">2025-01-09T16:54:00Z</dcterms:created>
  <dcterms:modified xsi:type="dcterms:W3CDTF">2025-01-16T14:49:00Z</dcterms:modified>
</cp:coreProperties>
</file>