
<file path=[Content_Types].xml><?xml version="1.0" encoding="utf-8"?>
<Types xmlns="http://schemas.openxmlformats.org/package/2006/content-types">
  <Default Extension="rels" ContentType="application/vnd.openxmlformats-package.relationships+xml"/>
  <Default Extension="xml" ContentType="application/xml"/>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7063C913" w14:paraId="3C300F0F" wp14:textId="40DCD077">
      <w:pPr>
        <w:spacing w:after="160" w:line="259" w:lineRule="auto"/>
        <w:jc w:val="center"/>
        <w:rPr>
          <w:rFonts w:ascii="Calibri" w:hAnsi="Calibri" w:eastAsia="Calibri" w:cs="Calibri"/>
          <w:b w:val="0"/>
          <w:bCs w:val="0"/>
          <w:i w:val="0"/>
          <w:iCs w:val="0"/>
          <w:noProof w:val="0"/>
          <w:sz w:val="22"/>
          <w:szCs w:val="22"/>
          <w:lang w:val="en-US"/>
        </w:rPr>
      </w:pPr>
      <w:r w:rsidRPr="7063C913" w:rsidR="311B23C6">
        <w:rPr>
          <w:rFonts w:ascii="Calibri" w:hAnsi="Calibri" w:eastAsia="Calibri" w:cs="Calibri"/>
          <w:b w:val="0"/>
          <w:bCs w:val="0"/>
          <w:i w:val="0"/>
          <w:iCs w:val="0"/>
          <w:noProof w:val="0"/>
          <w:sz w:val="22"/>
          <w:szCs w:val="22"/>
          <w:u w:val="single"/>
          <w:lang w:val="en-US"/>
        </w:rPr>
        <w:t>Towards the Founding of the Federal Republic of Germany</w:t>
      </w:r>
    </w:p>
    <w:p xmlns:wp14="http://schemas.microsoft.com/office/word/2010/wordml" w:rsidP="7063C913" w14:paraId="08AFF84D" wp14:textId="098A7244">
      <w:pPr>
        <w:spacing w:after="160" w:line="259" w:lineRule="auto"/>
        <w:jc w:val="both"/>
        <w:rPr>
          <w:rFonts w:ascii="Calibri" w:hAnsi="Calibri" w:eastAsia="Calibri" w:cs="Calibri"/>
          <w:b w:val="0"/>
          <w:bCs w:val="0"/>
          <w:i w:val="0"/>
          <w:iCs w:val="0"/>
          <w:noProof w:val="0"/>
          <w:sz w:val="22"/>
          <w:szCs w:val="22"/>
          <w:lang w:val="en-US"/>
        </w:rPr>
      </w:pPr>
      <w:r w:rsidRPr="7063C913" w:rsidR="311B23C6">
        <w:rPr>
          <w:rFonts w:ascii="Calibri" w:hAnsi="Calibri" w:eastAsia="Calibri" w:cs="Calibri"/>
          <w:b w:val="0"/>
          <w:bCs w:val="0"/>
          <w:i w:val="0"/>
          <w:iCs w:val="0"/>
          <w:noProof w:val="0"/>
          <w:sz w:val="22"/>
          <w:szCs w:val="22"/>
          <w:lang w:val="en-US"/>
        </w:rPr>
        <w:t>The early years of Allied occupation laid the groundwork for the political developments and tensions that would shape the next half century. The priorities for reconstruction are often referred to as the “Four Ds”: denazification; demilitarisation; decartelisation (breaking up of large industrial conglomerates); democatisation. Find out as much as you can about the period between 1945 and 1949 using websites such as those listed below. Pay particular attention to key milestones on the path to implementing the “Four Ds”.</w:t>
      </w:r>
    </w:p>
    <w:p xmlns:wp14="http://schemas.microsoft.com/office/word/2010/wordml" w:rsidP="7063C913" w14:paraId="511CF597" wp14:textId="4122F1D3">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7063C913" w:rsidR="311B23C6">
        <w:rPr>
          <w:rFonts w:ascii="Calibri" w:hAnsi="Calibri" w:eastAsia="Calibri" w:cs="Calibri"/>
          <w:b w:val="0"/>
          <w:bCs w:val="0"/>
          <w:i w:val="0"/>
          <w:iCs w:val="0"/>
          <w:noProof w:val="0"/>
          <w:sz w:val="22"/>
          <w:szCs w:val="22"/>
          <w:lang w:val="en-US"/>
        </w:rPr>
        <w:t xml:space="preserve">German History in Documents and Images: </w:t>
      </w:r>
      <w:hyperlink r:id="R5dba3a14d9404ac8">
        <w:r w:rsidRPr="7063C913" w:rsidR="311B23C6">
          <w:rPr>
            <w:rStyle w:val="Hyperlink"/>
            <w:rFonts w:ascii="Calibri" w:hAnsi="Calibri" w:eastAsia="Calibri" w:cs="Calibri"/>
            <w:b w:val="0"/>
            <w:bCs w:val="0"/>
            <w:i w:val="0"/>
            <w:iCs w:val="0"/>
            <w:noProof w:val="0"/>
            <w:color w:val="0563C1"/>
            <w:sz w:val="22"/>
            <w:szCs w:val="22"/>
            <w:u w:val="single"/>
            <w:lang w:val="en-US"/>
          </w:rPr>
          <w:t>http://germanhistorydocs.ghi-dc.org/section.cfm?section_id=14</w:t>
        </w:r>
      </w:hyperlink>
    </w:p>
    <w:p xmlns:wp14="http://schemas.microsoft.com/office/word/2010/wordml" w:rsidP="7063C913" w14:paraId="6CD623BA" wp14:textId="7B3541C6">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7063C913" w:rsidR="311B23C6">
        <w:rPr>
          <w:rFonts w:ascii="Calibri" w:hAnsi="Calibri" w:eastAsia="Calibri" w:cs="Calibri"/>
          <w:b w:val="0"/>
          <w:bCs w:val="0"/>
          <w:i w:val="0"/>
          <w:iCs w:val="0"/>
          <w:noProof w:val="0"/>
          <w:sz w:val="22"/>
          <w:szCs w:val="22"/>
          <w:lang w:val="en-US"/>
        </w:rPr>
        <w:t xml:space="preserve">Haus der Bayerischen Geschichte Museum: </w:t>
      </w:r>
      <w:hyperlink r:id="R31e28c49cb74472e">
        <w:r w:rsidRPr="7063C913" w:rsidR="311B23C6">
          <w:rPr>
            <w:rStyle w:val="Hyperlink"/>
            <w:rFonts w:ascii="Calibri" w:hAnsi="Calibri" w:eastAsia="Calibri" w:cs="Calibri"/>
            <w:b w:val="0"/>
            <w:bCs w:val="0"/>
            <w:i w:val="0"/>
            <w:iCs w:val="0"/>
            <w:noProof w:val="0"/>
            <w:color w:val="0563C1"/>
            <w:sz w:val="22"/>
            <w:szCs w:val="22"/>
            <w:u w:val="single"/>
            <w:lang w:val="en-US"/>
          </w:rPr>
          <w:t>https://www.museum.bayern/en/museum/concept/generations.html</w:t>
        </w:r>
      </w:hyperlink>
      <w:r w:rsidRPr="7063C913" w:rsidR="311B23C6">
        <w:rPr>
          <w:rFonts w:ascii="Calibri" w:hAnsi="Calibri" w:eastAsia="Calibri" w:cs="Calibri"/>
          <w:b w:val="0"/>
          <w:bCs w:val="0"/>
          <w:i w:val="0"/>
          <w:iCs w:val="0"/>
          <w:noProof w:val="0"/>
          <w:sz w:val="22"/>
          <w:szCs w:val="22"/>
          <w:lang w:val="en-US"/>
        </w:rPr>
        <w:t xml:space="preserve"> </w:t>
      </w:r>
    </w:p>
    <w:p xmlns:wp14="http://schemas.microsoft.com/office/word/2010/wordml" w:rsidP="7063C913" w14:paraId="74A7169C" wp14:textId="7F834785">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7063C913" w:rsidR="311B23C6">
        <w:rPr>
          <w:rFonts w:ascii="Calibri" w:hAnsi="Calibri" w:eastAsia="Calibri" w:cs="Calibri"/>
          <w:b w:val="0"/>
          <w:bCs w:val="0"/>
          <w:i w:val="0"/>
          <w:iCs w:val="0"/>
          <w:noProof w:val="0"/>
          <w:sz w:val="22"/>
          <w:szCs w:val="22"/>
          <w:lang w:val="en-US"/>
        </w:rPr>
        <w:t xml:space="preserve">The Lebendiges Museum Online (LEMO), run by the Deutsche Historische Museum in Berlin:  </w:t>
      </w:r>
      <w:hyperlink r:id="Rc6aff521e8f74966">
        <w:r w:rsidRPr="7063C913" w:rsidR="311B23C6">
          <w:rPr>
            <w:rStyle w:val="Hyperlink"/>
            <w:rFonts w:ascii="Calibri" w:hAnsi="Calibri" w:eastAsia="Calibri" w:cs="Calibri"/>
            <w:b w:val="0"/>
            <w:bCs w:val="0"/>
            <w:i w:val="0"/>
            <w:iCs w:val="0"/>
            <w:noProof w:val="0"/>
            <w:color w:val="0563C1"/>
            <w:sz w:val="22"/>
            <w:szCs w:val="22"/>
            <w:u w:val="single"/>
            <w:lang w:val="en-US"/>
          </w:rPr>
          <w:t>https://www.hdg.de/lemo/kapitel/nachkriegsjahre</w:t>
        </w:r>
      </w:hyperlink>
      <w:r w:rsidRPr="7063C913" w:rsidR="311B23C6">
        <w:rPr>
          <w:rFonts w:ascii="Calibri" w:hAnsi="Calibri" w:eastAsia="Calibri" w:cs="Calibri"/>
          <w:b w:val="0"/>
          <w:bCs w:val="0"/>
          <w:i w:val="0"/>
          <w:iCs w:val="0"/>
          <w:noProof w:val="0"/>
          <w:sz w:val="22"/>
          <w:szCs w:val="22"/>
          <w:lang w:val="en-US"/>
        </w:rPr>
        <w:t xml:space="preserve"> (for a year-by-year guide); </w:t>
      </w:r>
      <w:r w:rsidRPr="7063C913" w:rsidR="311B23C6">
        <w:rPr>
          <w:rStyle w:val="Hyperlink"/>
          <w:rFonts w:ascii="Calibri" w:hAnsi="Calibri" w:eastAsia="Calibri" w:cs="Calibri"/>
          <w:b w:val="0"/>
          <w:bCs w:val="0"/>
          <w:i w:val="0"/>
          <w:iCs w:val="0"/>
          <w:noProof w:val="0"/>
          <w:color w:val="0563C1"/>
          <w:sz w:val="22"/>
          <w:szCs w:val="22"/>
          <w:u w:val="single"/>
          <w:lang w:val="en-US"/>
        </w:rPr>
        <w:t xml:space="preserve"> </w:t>
      </w:r>
      <w:hyperlink r:id="R292d7386aa5d422c">
        <w:r w:rsidRPr="7063C913" w:rsidR="311B23C6">
          <w:rPr>
            <w:rStyle w:val="Hyperlink"/>
            <w:rFonts w:ascii="Calibri" w:hAnsi="Calibri" w:eastAsia="Calibri" w:cs="Calibri"/>
            <w:b w:val="0"/>
            <w:bCs w:val="0"/>
            <w:i w:val="0"/>
            <w:iCs w:val="0"/>
            <w:noProof w:val="0"/>
            <w:color w:val="0563C1"/>
            <w:sz w:val="22"/>
            <w:szCs w:val="22"/>
            <w:u w:val="single"/>
            <w:lang w:val="en-US"/>
          </w:rPr>
          <w:t>https://www.dhm.de/fileadmin/lemo/suche/search/index.php?q=*&amp;f[]=seitentyp:Zeitzeuge&amp;f[]=epoche:Nachkriegsjahre</w:t>
        </w:r>
      </w:hyperlink>
      <w:r w:rsidRPr="7063C913" w:rsidR="311B23C6">
        <w:rPr>
          <w:rFonts w:ascii="Calibri" w:hAnsi="Calibri" w:eastAsia="Calibri" w:cs="Calibri"/>
          <w:b w:val="0"/>
          <w:bCs w:val="0"/>
          <w:i w:val="0"/>
          <w:iCs w:val="0"/>
          <w:noProof w:val="0"/>
          <w:sz w:val="22"/>
          <w:szCs w:val="22"/>
          <w:lang w:val="en-US"/>
        </w:rPr>
        <w:t xml:space="preserve"> (for sources)</w:t>
      </w:r>
    </w:p>
    <w:p xmlns:wp14="http://schemas.microsoft.com/office/word/2010/wordml" w:rsidP="7063C913" w14:paraId="42CA9422" wp14:textId="6AB2B6DC">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7063C913" w:rsidR="311B23C6">
        <w:rPr>
          <w:rFonts w:ascii="Calibri" w:hAnsi="Calibri" w:eastAsia="Calibri" w:cs="Calibri"/>
          <w:b w:val="0"/>
          <w:bCs w:val="0"/>
          <w:i w:val="0"/>
          <w:iCs w:val="0"/>
          <w:noProof w:val="0"/>
          <w:sz w:val="22"/>
          <w:szCs w:val="22"/>
          <w:lang w:val="en-US"/>
        </w:rPr>
        <w:t xml:space="preserve">The Bundeszentrale für politische Bildung also has a useful site that contains a section on German history: </w:t>
      </w:r>
      <w:hyperlink r:id="Rbf8d932ec37e4f4a">
        <w:r w:rsidRPr="7063C913" w:rsidR="311B23C6">
          <w:rPr>
            <w:rStyle w:val="Hyperlink"/>
            <w:rFonts w:ascii="Calibri" w:hAnsi="Calibri" w:eastAsia="Calibri" w:cs="Calibri"/>
            <w:b w:val="0"/>
            <w:bCs w:val="0"/>
            <w:i w:val="0"/>
            <w:iCs w:val="0"/>
            <w:noProof w:val="0"/>
            <w:sz w:val="22"/>
            <w:szCs w:val="22"/>
            <w:lang w:val="en-US"/>
          </w:rPr>
          <w:t>https://www.bpb.de/geschichte/zeitgeschichte/deutschland-chronik/</w:t>
        </w:r>
      </w:hyperlink>
      <w:r w:rsidRPr="7063C913" w:rsidR="311B23C6">
        <w:rPr>
          <w:rFonts w:ascii="Calibri" w:hAnsi="Calibri" w:eastAsia="Calibri" w:cs="Calibri"/>
          <w:b w:val="0"/>
          <w:bCs w:val="0"/>
          <w:i w:val="0"/>
          <w:iCs w:val="0"/>
          <w:noProof w:val="0"/>
          <w:sz w:val="22"/>
          <w:szCs w:val="22"/>
          <w:lang w:val="en-US"/>
        </w:rPr>
        <w:t xml:space="preserve">  (chronological view of post-war history); </w:t>
      </w:r>
      <w:hyperlink r:id="Rfb3c9f1145284dc3">
        <w:r w:rsidRPr="7063C913" w:rsidR="311B23C6">
          <w:rPr>
            <w:rStyle w:val="Hyperlink"/>
            <w:rFonts w:ascii="Calibri" w:hAnsi="Calibri" w:eastAsia="Calibri" w:cs="Calibri"/>
            <w:b w:val="0"/>
            <w:bCs w:val="0"/>
            <w:i w:val="0"/>
            <w:iCs w:val="0"/>
            <w:noProof w:val="0"/>
            <w:color w:val="0563C1"/>
            <w:sz w:val="22"/>
            <w:szCs w:val="22"/>
            <w:u w:val="single"/>
            <w:lang w:val="en-US"/>
          </w:rPr>
          <w:t>https://www.bpb.de/geschichte/zeitgeschichte/307740/75-jahre-kriegsende</w:t>
        </w:r>
      </w:hyperlink>
      <w:r w:rsidRPr="7063C913" w:rsidR="311B23C6">
        <w:rPr>
          <w:rFonts w:ascii="Calibri" w:hAnsi="Calibri" w:eastAsia="Calibri" w:cs="Calibri"/>
          <w:b w:val="0"/>
          <w:bCs w:val="0"/>
          <w:i w:val="0"/>
          <w:iCs w:val="0"/>
          <w:noProof w:val="0"/>
          <w:sz w:val="22"/>
          <w:szCs w:val="22"/>
          <w:lang w:val="en-US"/>
        </w:rPr>
        <w:t xml:space="preserve"> (looking back on 1945 from the present); </w:t>
      </w:r>
      <w:hyperlink r:id="Rface8d0010ce4ecc">
        <w:r w:rsidRPr="7063C913" w:rsidR="311B23C6">
          <w:rPr>
            <w:rStyle w:val="Hyperlink"/>
            <w:rFonts w:ascii="Calibri" w:hAnsi="Calibri" w:eastAsia="Calibri" w:cs="Calibri"/>
            <w:b w:val="0"/>
            <w:bCs w:val="0"/>
            <w:i w:val="0"/>
            <w:iCs w:val="0"/>
            <w:noProof w:val="0"/>
            <w:sz w:val="22"/>
            <w:szCs w:val="22"/>
            <w:lang w:val="en-US"/>
          </w:rPr>
          <w:t>https://www.bpb.de/geschichte/zeitgeschichte/marshallplan/</w:t>
        </w:r>
      </w:hyperlink>
      <w:r w:rsidRPr="7063C913" w:rsidR="311B23C6">
        <w:rPr>
          <w:rFonts w:ascii="Calibri" w:hAnsi="Calibri" w:eastAsia="Calibri" w:cs="Calibri"/>
          <w:b w:val="0"/>
          <w:bCs w:val="0"/>
          <w:i w:val="0"/>
          <w:iCs w:val="0"/>
          <w:noProof w:val="0"/>
          <w:sz w:val="22"/>
          <w:szCs w:val="22"/>
          <w:lang w:val="en-US"/>
        </w:rPr>
        <w:t xml:space="preserve">  (the Marshall plan and economic recovery); </w:t>
      </w:r>
      <w:hyperlink r:id="Rde1fdf7e583e4f53">
        <w:r w:rsidRPr="7063C913" w:rsidR="311B23C6">
          <w:rPr>
            <w:rStyle w:val="Hyperlink"/>
            <w:rFonts w:ascii="Calibri" w:hAnsi="Calibri" w:eastAsia="Calibri" w:cs="Calibri"/>
            <w:b w:val="0"/>
            <w:bCs w:val="0"/>
            <w:i w:val="0"/>
            <w:iCs w:val="0"/>
            <w:noProof w:val="0"/>
            <w:sz w:val="22"/>
            <w:szCs w:val="22"/>
            <w:lang w:val="en-US"/>
          </w:rPr>
          <w:t>https://www.bpb.de/geschichte/deutsche-geschichte/grundgesetz-und-parlamentarischer-rat/</w:t>
        </w:r>
      </w:hyperlink>
      <w:r w:rsidRPr="7063C913" w:rsidR="311B23C6">
        <w:rPr>
          <w:rFonts w:ascii="Calibri" w:hAnsi="Calibri" w:eastAsia="Calibri" w:cs="Calibri"/>
          <w:b w:val="0"/>
          <w:bCs w:val="0"/>
          <w:i w:val="0"/>
          <w:iCs w:val="0"/>
          <w:noProof w:val="0"/>
          <w:sz w:val="22"/>
          <w:szCs w:val="22"/>
          <w:lang w:val="en-US"/>
        </w:rPr>
        <w:t xml:space="preserve"> (establishing a new German parliament)</w:t>
      </w:r>
    </w:p>
    <w:p xmlns:wp14="http://schemas.microsoft.com/office/word/2010/wordml" w:rsidP="7063C913" w14:paraId="2C078E63" wp14:textId="5CE97E06">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06736DEB"/>
  <w15:docId w15:val="{e9602b7f-4d71-41d5-b4a0-fa62cbc62852}"/>
  <w:rsids>
    <w:rsidRoot w:val="58861B32"/>
    <w:rsid w:val="311B23C6"/>
    <w:rsid w:val="58861B32"/>
    <w:rsid w:val="7063C913"/>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http://germanhistorydocs.ghi-dc.org/section.cfm?section_id=14" TargetMode="External" Id="R5dba3a14d9404ac8" /><Relationship Type="http://schemas.openxmlformats.org/officeDocument/2006/relationships/hyperlink" Target="https://www.museum.bayern/en/museum/concept/generations.html" TargetMode="External" Id="R31e28c49cb74472e" /><Relationship Type="http://schemas.openxmlformats.org/officeDocument/2006/relationships/hyperlink" Target="https://www.hdg.de/lemo/kapitel/nachkriegsjahre" TargetMode="External" Id="Rc6aff521e8f74966" /><Relationship Type="http://schemas.openxmlformats.org/officeDocument/2006/relationships/hyperlink" Target="https://www.dhm.de/fileadmin/lemo/suche/search/index.php?q=*&amp;f[]=seitentyp:Zeitzeuge&amp;f[]=epoche:Nachkriegsjahre" TargetMode="External" Id="R292d7386aa5d422c" /><Relationship Type="http://schemas.openxmlformats.org/officeDocument/2006/relationships/hyperlink" Target="https://www.bpb.de/geschichte/zeitgeschichte/deutschland-chronik/" TargetMode="External" Id="Rbf8d932ec37e4f4a" /><Relationship Type="http://schemas.openxmlformats.org/officeDocument/2006/relationships/hyperlink" Target="https://www.bpb.de/geschichte/zeitgeschichte/307740/75-jahre-kriegsende" TargetMode="External" Id="Rfb3c9f1145284dc3" /><Relationship Type="http://schemas.openxmlformats.org/officeDocument/2006/relationships/hyperlink" Target="https://www.bpb.de/geschichte/zeitgeschichte/marshallplan/" TargetMode="External" Id="Rface8d0010ce4ecc" /><Relationship Type="http://schemas.openxmlformats.org/officeDocument/2006/relationships/hyperlink" Target="https://www.bpb.de/geschichte/deutsche-geschichte/grundgesetz-und-parlamentarischer-rat/" TargetMode="External" Id="Rde1fdf7e583e4f53" /><Relationship Type="http://schemas.openxmlformats.org/officeDocument/2006/relationships/numbering" Target="/word/numbering.xml" Id="Rfd9965dd0f924d3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2020-08-04T06:46:05.8842139Z</dcterms:created>
  <dcterms:modified xsi:type="dcterms:W3CDTF">2020-08-04T06:48:08.4980402Z</dcterms:modified>
  <dc:creator>Stone, Katherine</dc:creator>
  <lastModifiedBy>Stone, Katherine</lastModifiedBy>
</coreProperties>
</file>