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78088F4" w14:textId="77777777" w:rsidR="00000000" w:rsidRDefault="00000000">
      <w:pPr>
        <w:pStyle w:val="Heading2"/>
        <w:jc w:val="center"/>
        <w:rPr>
          <w:b/>
          <w:bCs/>
        </w:rPr>
      </w:pPr>
      <w:r>
        <w:rPr>
          <w:b/>
          <w:bCs/>
        </w:rPr>
        <w:t>Society for Neo-Latin Studies</w:t>
      </w:r>
    </w:p>
    <w:p w14:paraId="7912CA9C" w14:textId="77777777" w:rsidR="00000000" w:rsidRDefault="00000000">
      <w:pPr>
        <w:jc w:val="center"/>
      </w:pPr>
    </w:p>
    <w:p w14:paraId="60F3B7EF" w14:textId="77777777" w:rsidR="00000000" w:rsidRDefault="00000000">
      <w:pPr>
        <w:pStyle w:val="Heading1"/>
        <w:jc w:val="center"/>
        <w:rPr>
          <w:sz w:val="28"/>
        </w:rPr>
      </w:pPr>
      <w:r>
        <w:rPr>
          <w:sz w:val="28"/>
        </w:rPr>
        <w:t>2009 Annual General Meeting</w:t>
      </w:r>
    </w:p>
    <w:p w14:paraId="00E43002" w14:textId="77777777" w:rsidR="00000000" w:rsidRDefault="00000000">
      <w:pPr>
        <w:jc w:val="center"/>
      </w:pPr>
      <w:r>
        <w:t>Friday 20 November 2009</w:t>
      </w:r>
    </w:p>
    <w:p w14:paraId="4D126A95" w14:textId="77777777" w:rsidR="00000000" w:rsidRDefault="00000000">
      <w:pPr>
        <w:jc w:val="center"/>
      </w:pPr>
      <w:r>
        <w:t>4.00pm in the Lecture Room, Warburg Institute, London</w:t>
      </w:r>
    </w:p>
    <w:p w14:paraId="568FB643" w14:textId="77777777" w:rsidR="00000000" w:rsidRDefault="00000000"/>
    <w:p w14:paraId="62500F5D" w14:textId="77777777" w:rsidR="00000000" w:rsidRDefault="00000000">
      <w:r>
        <w:t xml:space="preserve">1. </w:t>
      </w:r>
      <w:r>
        <w:rPr>
          <w:u w:val="single"/>
        </w:rPr>
        <w:t>Present</w:t>
      </w:r>
    </w:p>
    <w:p w14:paraId="346A599F" w14:textId="77777777" w:rsidR="00000000" w:rsidRDefault="00000000">
      <w:r>
        <w:t>Daniel Andersson, Philip Ford, Guido Giglioni, Jacquie Glomski, Emma Herdman, Sarah Knight, Victoria Moul, Letizia Panizza, Hubert Picarda, Valery Rees, Andrew Taylor</w:t>
      </w:r>
    </w:p>
    <w:p w14:paraId="6EFD05BF" w14:textId="77777777" w:rsidR="00000000" w:rsidRDefault="00000000"/>
    <w:p w14:paraId="7BD25A2F" w14:textId="77777777" w:rsidR="00000000" w:rsidRDefault="00000000">
      <w:r>
        <w:t xml:space="preserve">2. </w:t>
      </w:r>
      <w:r>
        <w:rPr>
          <w:u w:val="single"/>
        </w:rPr>
        <w:t>Apologies for absence</w:t>
      </w:r>
    </w:p>
    <w:p w14:paraId="4FDAA932" w14:textId="77777777" w:rsidR="00000000" w:rsidRDefault="00000000">
      <w:r>
        <w:t>Brian Bishop, Paul Botley, Ingrid De Smet, Philip Hardie, Brenda Hosington, Luke Houghton, David Money, Stephen Ryle, Demmy Verbeke</w:t>
      </w:r>
    </w:p>
    <w:p w14:paraId="1299C134" w14:textId="77777777" w:rsidR="00000000" w:rsidRDefault="00000000"/>
    <w:p w14:paraId="2F9599CB" w14:textId="77777777" w:rsidR="00000000" w:rsidRDefault="00000000">
      <w:r>
        <w:t xml:space="preserve">3. </w:t>
      </w:r>
      <w:r>
        <w:rPr>
          <w:u w:val="single"/>
        </w:rPr>
        <w:t>Website Report</w:t>
      </w:r>
    </w:p>
    <w:p w14:paraId="1939D98A" w14:textId="77777777" w:rsidR="00000000" w:rsidRDefault="00000000">
      <w:r>
        <w:t>The SNLS website is currently hosted by the University of Warwick, which is happy to continue doing so in the short term.</w:t>
      </w:r>
    </w:p>
    <w:p w14:paraId="5B5B3FF9" w14:textId="77777777" w:rsidR="00000000" w:rsidRDefault="00000000">
      <w:r>
        <w:tab/>
        <w:t>Suggestions for further augmentation of the webpages should be send to Maude Vanhaelen at M.Vanhaelen@warwick.ac.uk.</w:t>
      </w:r>
    </w:p>
    <w:p w14:paraId="56B2202D" w14:textId="77777777" w:rsidR="00000000" w:rsidRDefault="00000000"/>
    <w:p w14:paraId="0A894DB2" w14:textId="77777777" w:rsidR="00000000" w:rsidRDefault="00000000">
      <w:r>
        <w:t xml:space="preserve">4. </w:t>
      </w:r>
      <w:r>
        <w:rPr>
          <w:u w:val="single"/>
        </w:rPr>
        <w:t>Book Reviews Report</w:t>
      </w:r>
    </w:p>
    <w:p w14:paraId="507655FE" w14:textId="77777777" w:rsidR="00000000" w:rsidRDefault="00000000">
      <w:r>
        <w:t>Daniel Andersson reported that he had received a few titles from Olms for review. Brepols has offered a 20% discount to SNLS members on some of the books in its latest catalogue. It was noted that books quickly become cheaper on the web. It was also noted that stronger appeals for review copies and current catalogues were needed.</w:t>
      </w:r>
    </w:p>
    <w:p w14:paraId="66CDD12E" w14:textId="77777777" w:rsidR="00000000" w:rsidRDefault="00000000">
      <w:r>
        <w:tab/>
        <w:t>It was agreed that it was a good idea to send the web-addresses of reviews to the webmaster for posting. It was also thought possible for such reviews, with the authors’ permissions, to be archived on the SNLS reviews webpage to make the copy durable.</w:t>
      </w:r>
    </w:p>
    <w:p w14:paraId="00DEBEBC" w14:textId="77777777" w:rsidR="00000000" w:rsidRDefault="00000000"/>
    <w:p w14:paraId="7C47F0C9" w14:textId="77777777" w:rsidR="00000000" w:rsidRDefault="00000000">
      <w:pPr>
        <w:rPr>
          <w:u w:val="single"/>
        </w:rPr>
      </w:pPr>
      <w:r>
        <w:t xml:space="preserve">5. </w:t>
      </w:r>
      <w:r>
        <w:rPr>
          <w:u w:val="single"/>
        </w:rPr>
        <w:t>Financial and Membership Report</w:t>
      </w:r>
    </w:p>
    <w:p w14:paraId="6EED3B97" w14:textId="77777777" w:rsidR="00000000" w:rsidRDefault="00000000">
      <w:r>
        <w:t>Ingrid De Smet was thanked for her Financial Report, copies of which were circulated. The current balance stands at £925.98, and the account earns no interest. It was noted that a membership drive should be undertaken, especially to involve graduates, partly through representation of the Society at major conferences and partly through contacts at academic departments where research including a Neo-Latin dimension is being undertaken.</w:t>
      </w:r>
    </w:p>
    <w:p w14:paraId="1E13FCE1" w14:textId="77777777" w:rsidR="00000000" w:rsidRDefault="00000000"/>
    <w:p w14:paraId="7FD9024D" w14:textId="77777777" w:rsidR="00000000" w:rsidRDefault="00000000">
      <w:pPr>
        <w:rPr>
          <w:u w:val="single"/>
        </w:rPr>
      </w:pPr>
      <w:r>
        <w:t xml:space="preserve">6. </w:t>
      </w:r>
      <w:r>
        <w:rPr>
          <w:u w:val="single"/>
        </w:rPr>
        <w:t>Future Initiatives</w:t>
      </w:r>
    </w:p>
    <w:p w14:paraId="433A3783" w14:textId="77777777" w:rsidR="00000000" w:rsidRDefault="00000000">
      <w:r>
        <w:t>The meeting of the Standing Committee held at 3.00pm considered informally a document entitled ‘Future Initiatives’, drafted by Sarah Knight, which had been pre-circulated to the membership.</w:t>
      </w:r>
    </w:p>
    <w:p w14:paraId="2B707A07" w14:textId="77777777" w:rsidR="00000000" w:rsidRDefault="00000000">
      <w:r>
        <w:tab/>
        <w:t xml:space="preserve">The document laid out various considerations about the establishment of a Neo-Latin research network, and the terms in which a proposal to the AHRC might be made. It was agreed that a larger grant for the period of two years was desirable. It was also concluded that the bid should be multidisciplinary and that a period focus – i.e. the Renaissance – would strengthen the bid, although it was recognised that Neo-Latin extends far beyond that period. It was also thought desirable to overlap pedagogical and scholarly dimensions, so that there would be an emphasis on training, especially that involving editing and translating. One model might involve teams involved in handling specific bodies of Neo-Latin texts. One example suggested involved work on emblems, mottoes and the aphoristic tradition. Book history was a cognate area which could be involved in such graduate training in association with existing research activities. (It was noted that the Faculty of English at Cambridge has recently developed a ‘Centre for Material </w:t>
      </w:r>
      <w:r>
        <w:lastRenderedPageBreak/>
        <w:t>Texts’; see http://www.english.cam.ac.uk/cmt/.) The resulting translations, which could also include introductions and commentaries, could be published on the SNLS website, which would allow seminars and workshops to develop around them based on pre-circulated materials for discussion and collaborative work. The on-line (and still growing) SNLS Anthology provides a useful foundation and evidence for the basis of the project and bid. A conference on practice and research is envisaged, as well as a one-day colloquium on the Anthology, which would include papers on the practice of translation as well as on the larger intellectual and institutional agendas of the activity. The project would also be multi-centred: the CSNLS at Cambridge would be interested in participating, as would the Warburg and the Centre for Renaissance Studies at Warwick. Around 5 centres was thought to be the optimum, so another 2 with existing Neo-Latin activity need to be brought on board.</w:t>
      </w:r>
    </w:p>
    <w:p w14:paraId="1506256E" w14:textId="77777777" w:rsidR="00000000" w:rsidRDefault="00000000">
      <w:r>
        <w:tab/>
        <w:t>Sarah Knight undertook to develop two alternative schemes to address the shaping of the funding application.</w:t>
      </w:r>
    </w:p>
    <w:p w14:paraId="27D699FF" w14:textId="77777777" w:rsidR="00000000" w:rsidRDefault="00000000"/>
    <w:p w14:paraId="6EDE857B" w14:textId="77777777" w:rsidR="00000000" w:rsidRDefault="00000000">
      <w:pPr>
        <w:rPr>
          <w:u w:val="single"/>
        </w:rPr>
      </w:pPr>
      <w:r>
        <w:t xml:space="preserve">7. </w:t>
      </w:r>
      <w:r>
        <w:rPr>
          <w:u w:val="single"/>
        </w:rPr>
        <w:t>Any Other Business</w:t>
      </w:r>
    </w:p>
    <w:p w14:paraId="69B3A236" w14:textId="77777777" w:rsidR="00000000" w:rsidRDefault="00000000">
      <w:r>
        <w:t xml:space="preserve">(a) Recent publications: </w:t>
      </w:r>
      <w:r>
        <w:rPr>
          <w:i/>
          <w:iCs/>
        </w:rPr>
        <w:t>George Buchanan: Poet and Dramatist</w:t>
      </w:r>
      <w:r>
        <w:t>, ed. Philip Ford and Roger Green (Swansea: The Classical Press of Wales, 2009) is a rich collection of essays derived mostly from papers delivered at the conference in 2006 at the University of Glasgow which celebrated the 500</w:t>
      </w:r>
      <w:r>
        <w:rPr>
          <w:vertAlign w:val="superscript"/>
        </w:rPr>
        <w:t>th</w:t>
      </w:r>
      <w:r>
        <w:t xml:space="preserve"> anniversary of Buchanan’s birth.</w:t>
      </w:r>
    </w:p>
    <w:p w14:paraId="2B62EC6D" w14:textId="77777777" w:rsidR="00000000" w:rsidRDefault="00000000">
      <w:r>
        <w:t>(b) Elections: the current officers were thanked for their work since the last AGM and were unanimously re-elected.</w:t>
      </w:r>
    </w:p>
    <w:p w14:paraId="0D14E047" w14:textId="77777777" w:rsidR="00000000" w:rsidRDefault="00000000">
      <w:r>
        <w:t>(c) Philip Ford drew attention to the lack of formal and explicit representation of Neo-Latin at both the AHRC and the British Academy. It was proposed that a letter be drafted and circulated for comment. The British Academy now includes Neo-Latin as a research category.</w:t>
      </w:r>
    </w:p>
    <w:p w14:paraId="74ECACA0" w14:textId="77777777" w:rsidR="00000000" w:rsidRDefault="00000000"/>
    <w:p w14:paraId="36A7761A" w14:textId="77777777" w:rsidR="00000000" w:rsidRDefault="00000000">
      <w:r>
        <w:t>The meeting closed at 4.55pm.</w:t>
      </w:r>
    </w:p>
    <w:p w14:paraId="516AA693" w14:textId="77777777" w:rsidR="00000000" w:rsidRDefault="00000000"/>
    <w:p w14:paraId="03853B29" w14:textId="77777777" w:rsidR="002C14EA" w:rsidRDefault="00000000">
      <w:r>
        <w:t>There followed the lecture by the guest speaker: Guido Giglioni, ‘The Notorious Case of Girolamo Cardano’s Latin’. This was followed by a reception in the Common Room. The evening finished at 7.00 p.m.</w:t>
      </w:r>
    </w:p>
    <w:sectPr w:rsidR="002C14EA">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Garamond">
    <w:charset w:val="00"/>
    <w:family w:val="roman"/>
    <w:pitch w:val="variable"/>
    <w:sig w:usb0="00000287" w:usb1="00000000" w:usb2="00000000" w:usb3="00000000" w:csb0="0000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drawingGridHorizontalSpacing w:val="120"/>
  <w:displayHorizontalDrawingGridEvery w:val="2"/>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1507"/>
    <w:rsid w:val="00251507"/>
    <w:rsid w:val="002C14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92F680D"/>
  <w15:chartTrackingRefBased/>
  <w15:docId w15:val="{B6290E1B-B8AC-4C0D-83B3-1194365697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Garamond" w:hAnsi="Garamond"/>
      <w:sz w:val="24"/>
      <w:szCs w:val="24"/>
      <w:lang w:val="en-US" w:eastAsia="en-US"/>
    </w:rPr>
  </w:style>
  <w:style w:type="paragraph" w:styleId="Heading1">
    <w:name w:val="heading 1"/>
    <w:basedOn w:val="Normal"/>
    <w:next w:val="Normal"/>
    <w:qFormat/>
    <w:pPr>
      <w:keepNext/>
      <w:outlineLvl w:val="0"/>
    </w:pPr>
    <w:rPr>
      <w:b/>
      <w:bCs/>
      <w:sz w:val="32"/>
    </w:rPr>
  </w:style>
  <w:style w:type="paragraph" w:styleId="Heading2">
    <w:name w:val="heading 2"/>
    <w:basedOn w:val="Normal"/>
    <w:next w:val="Normal"/>
    <w:qFormat/>
    <w:pPr>
      <w:keepNext/>
      <w:outlineLvl w:val="1"/>
    </w:pPr>
    <w:rPr>
      <w:sz w:val="32"/>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764</Words>
  <Characters>4356</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Society for Neo-Latin Studies</vt:lpstr>
    </vt:vector>
  </TitlesOfParts>
  <Company>Trinity College</Company>
  <LinksUpToDate>false</LinksUpToDate>
  <CharactersWithSpaces>5110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Society for Neo-Latin Studies</dc:title>
  <dc:subject/>
  <dc:creator>Taylor</dc:creator>
  <cp:keywords/>
  <dc:description/>
  <cp:lastModifiedBy>Knight, Sarah M. (Prof.)</cp:lastModifiedBy>
  <cp:revision>2</cp:revision>
  <dcterms:created xsi:type="dcterms:W3CDTF">2024-04-04T07:55:00Z</dcterms:created>
  <dcterms:modified xsi:type="dcterms:W3CDTF">2024-04-04T07:55:00Z</dcterms:modified>
</cp:coreProperties>
</file>